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Sterling Royalty Claim Chart</w:t>
      </w:r>
    </w:p>
    <w:p>
      <w:r>
        <w:t>MEMORANDUM / FILE REPORT</w:t>
      </w:r>
    </w:p>
    <w:p>
      <w:r>
        <w:t>TO: Samantha Wheeler, Senior Partner</w:t>
      </w:r>
    </w:p>
    <w:p>
      <w:r>
        <w:t>FROM: Katrina Bennett, Associate</w:t>
      </w:r>
    </w:p>
    <w:p>
      <w:r>
        <w:t>DATE: May 03, 2026</w:t>
      </w:r>
    </w:p>
    <w:p>
      <w:r>
        <w:t>SUBJECT: Sterling Royalty Claim Chart - Folsom Foods v. Avery McKernon</w:t>
      </w:r>
    </w:p>
    <w:p/>
    <w:p>
      <w:r>
        <w:t>As requested, I have reviewed the latest filings regarding the Folsom Foods matter.</w:t>
      </w:r>
    </w:p>
    <w:p>
      <w:r>
        <w:t>Our client explicitly denies any breach of fiduciary duty or misappropriation of corporate assets.</w:t>
      </w:r>
    </w:p>
    <w:p>
      <w:r>
        <w:t>The non-compete clause in section 4.b is legally unenforceable under New York State law.</w:t>
      </w:r>
    </w:p>
    <w:p/>
    <w:p>
      <w:r>
        <w:t>Next Steps:</w:t>
      </w:r>
    </w:p>
    <w:p>
      <w:r>
        <w:t>1. Schedule a deposition with Avery McKernon.</w:t>
      </w:r>
    </w:p>
    <w:p>
      <w:r>
        <w:t>2. File the injunction by 5:00 PM tomorrow.</w:t>
      </w:r>
    </w:p>
    <w:p>
      <w:r>
        <w:t>3. Have Gretchen Bodinski organize the discovery boxes.</w:t>
      </w:r>
    </w:p>
    <w:p/>
    <w:p>
      <w:r>
        <w:t>Respectfully submitted,</w:t>
      </w:r>
    </w:p>
    <w:p>
      <w:r>
        <w:t>Katrina Bennett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