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2179" w14:textId="77777777" w:rsidR="005E74B6" w:rsidRPr="006908AE" w:rsidRDefault="005E74B6" w:rsidP="005E74B6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908A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Global Agricultural Productivity &amp; Food Security Analysis (FAOSTAT, 1961–2023)</w:t>
      </w:r>
    </w:p>
    <w:p w14:paraId="5282E5C3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FAOSTAT Overview</w:t>
      </w:r>
    </w:p>
    <w:p w14:paraId="02B55CA2" w14:textId="77777777" w:rsidR="0085550A" w:rsidRPr="006908AE" w:rsidRDefault="006908AE" w:rsidP="005E74B6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FAOSTAT provides one of the world’s richest agricultural datasets, covering 240+ countries and 300+ crops from 1961–2023.</w:t>
      </w:r>
      <w:r w:rsidR="005E74B6" w:rsidRPr="006908AE">
        <w:rPr>
          <w:rFonts w:ascii="Times New Roman" w:hAnsi="Times New Roman" w:cs="Times New Roman"/>
          <w:color w:val="000000" w:themeColor="text1"/>
        </w:rPr>
        <w:t xml:space="preserve"> </w:t>
      </w:r>
      <w:r w:rsidRPr="006908AE">
        <w:rPr>
          <w:rFonts w:ascii="Times New Roman" w:hAnsi="Times New Roman" w:cs="Times New Roman"/>
          <w:color w:val="000000" w:themeColor="text1"/>
        </w:rPr>
        <w:t>The data was reshaped into a tidy, analysis-ready format to support consistent time-series evaluation.</w:t>
      </w:r>
      <w:r w:rsidR="005E74B6" w:rsidRPr="006908AE">
        <w:rPr>
          <w:rFonts w:ascii="Times New Roman" w:hAnsi="Times New Roman" w:cs="Times New Roman"/>
          <w:color w:val="000000" w:themeColor="text1"/>
        </w:rPr>
        <w:t xml:space="preserve"> </w:t>
      </w:r>
      <w:r w:rsidRPr="006908AE">
        <w:rPr>
          <w:rFonts w:ascii="Times New Roman" w:hAnsi="Times New Roman" w:cs="Times New Roman"/>
          <w:color w:val="000000" w:themeColor="text1"/>
        </w:rPr>
        <w:t>This foundation enables scalable insights across production, area use, and yield performance globally.</w:t>
      </w:r>
    </w:p>
    <w:p w14:paraId="02AF70D2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Dataset Structure and Cleaning</w:t>
      </w:r>
    </w:p>
    <w:p w14:paraId="1F87E416" w14:textId="5D49F16C" w:rsidR="0085550A" w:rsidRPr="006908AE" w:rsidRDefault="006908AE">
      <w:pPr>
        <w:pStyle w:val="ListBullet"/>
        <w:rPr>
          <w:rFonts w:ascii="Times New Roman" w:hAnsi="Times New Roman" w:cs="Times New Roman"/>
          <w:b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 xml:space="preserve">The dataset includes over 1.5 million observations after </w:t>
      </w:r>
      <w:r w:rsidR="000C18D1" w:rsidRPr="006908AE">
        <w:rPr>
          <w:rFonts w:ascii="Times New Roman" w:hAnsi="Times New Roman" w:cs="Times New Roman"/>
          <w:color w:val="000000" w:themeColor="text1"/>
        </w:rPr>
        <w:t>filtering</w:t>
      </w:r>
      <w:r w:rsidRPr="006908AE">
        <w:rPr>
          <w:rFonts w:ascii="Times New Roman" w:hAnsi="Times New Roman" w:cs="Times New Roman"/>
          <w:color w:val="000000" w:themeColor="text1"/>
        </w:rPr>
        <w:t xml:space="preserve"> the three core crop metrics: </w:t>
      </w:r>
      <w:r w:rsidRPr="006908AE">
        <w:rPr>
          <w:rFonts w:ascii="Times New Roman" w:hAnsi="Times New Roman" w:cs="Times New Roman"/>
          <w:b/>
          <w:color w:val="000000" w:themeColor="text1"/>
        </w:rPr>
        <w:t>production, area harvested, and yield</w:t>
      </w:r>
      <w:r w:rsidRPr="006908AE">
        <w:rPr>
          <w:rFonts w:ascii="Times New Roman" w:hAnsi="Times New Roman" w:cs="Times New Roman"/>
          <w:color w:val="000000" w:themeColor="text1"/>
        </w:rPr>
        <w:t>.</w:t>
      </w:r>
    </w:p>
    <w:p w14:paraId="3B45E885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Missingness patterns reflect true reporting gaps, not data errors, and yield outliers above 200,000 hg/ha were removed for biological realism.</w:t>
      </w:r>
    </w:p>
    <w:p w14:paraId="03F601EC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These steps ensure all downstream trend analyses are accurate, stable, and methodologically defensible.</w:t>
      </w:r>
    </w:p>
    <w:p w14:paraId="0FB478C7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Exploratory Data Analysis</w:t>
      </w:r>
    </w:p>
    <w:p w14:paraId="198A2D0F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EDA confirms that production, area, and yield follow expected right-skewed distributions driven by real-world agricultural scale differences.</w:t>
      </w:r>
    </w:p>
    <w:p w14:paraId="64EF45DB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Missing values occur structurally due to FAOSTAT reporting rules, particularly for yield.</w:t>
      </w:r>
    </w:p>
    <w:p w14:paraId="4A57BF3F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 cleaned dataset supports high-quality comparisons across regions, crops, and decades of agricultural change.</w:t>
      </w:r>
    </w:p>
    <w:p w14:paraId="2350A1D0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Time-Series Coverage</w:t>
      </w:r>
    </w:p>
    <w:p w14:paraId="675C7ECE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Coverage remains strong from 1961 through 1989, expands sharply after 1990 with new reporting countries, and peaks between 2010–2021.</w:t>
      </w:r>
    </w:p>
    <w:p w14:paraId="6279814C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 slight dip in 2022–2023 reflects FAOSTAT update cycles rather than structural reporting loss.</w:t>
      </w:r>
    </w:p>
    <w:p w14:paraId="6A621FFE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This stable timeline allows long-run productivity and volatility assessments with confidence.</w:t>
      </w:r>
    </w:p>
    <w:p w14:paraId="517235E1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Global Production, Area &amp; Yield Trends</w:t>
      </w:r>
    </w:p>
    <w:p w14:paraId="2589D414" w14:textId="33F7B4E3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 xml:space="preserve">Global production rose from roughly 280 million </w:t>
      </w:r>
      <w:r w:rsidR="000C18D1" w:rsidRPr="006908AE">
        <w:rPr>
          <w:rFonts w:ascii="Times New Roman" w:hAnsi="Times New Roman" w:cs="Times New Roman"/>
          <w:color w:val="000000" w:themeColor="text1"/>
        </w:rPr>
        <w:t>tons</w:t>
      </w:r>
      <w:r w:rsidRPr="006908AE">
        <w:rPr>
          <w:rFonts w:ascii="Times New Roman" w:hAnsi="Times New Roman" w:cs="Times New Roman"/>
          <w:color w:val="000000" w:themeColor="text1"/>
        </w:rPr>
        <w:t xml:space="preserve"> in 1961 to over 1 billion </w:t>
      </w:r>
      <w:r w:rsidR="000C18D1" w:rsidRPr="006908AE">
        <w:rPr>
          <w:rFonts w:ascii="Times New Roman" w:hAnsi="Times New Roman" w:cs="Times New Roman"/>
          <w:color w:val="000000" w:themeColor="text1"/>
        </w:rPr>
        <w:t>tons</w:t>
      </w:r>
      <w:r w:rsidRPr="006908AE">
        <w:rPr>
          <w:rFonts w:ascii="Times New Roman" w:hAnsi="Times New Roman" w:cs="Times New Roman"/>
          <w:color w:val="000000" w:themeColor="text1"/>
        </w:rPr>
        <w:t xml:space="preserve"> by 2020, driven by intensification and technology adoption.</w:t>
      </w:r>
    </w:p>
    <w:p w14:paraId="3399C6DA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Harvested area increased gradually, showing that land expansion played a smaller role than efficiency gains.</w:t>
      </w:r>
    </w:p>
    <w:p w14:paraId="2D6E6CE4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Yield improved substantially from about 7.2 t/ha to 11.2 t/ha, reflecting the global impact of the Green Revolution and modernization.</w:t>
      </w:r>
    </w:p>
    <w:p w14:paraId="00543C8D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Global Production Trend Chart</w:t>
      </w:r>
    </w:p>
    <w:p w14:paraId="3AA398E8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Area Harvested Trend Chart</w:t>
      </w:r>
    </w:p>
    <w:p w14:paraId="312DD227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Global Yield Trend Chart</w:t>
      </w:r>
    </w:p>
    <w:p w14:paraId="45E3EA2D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lastRenderedPageBreak/>
        <w:t>Top Crops by Production</w:t>
      </w:r>
    </w:p>
    <w:p w14:paraId="539B892D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Cereals, sugar crops, sugar cane, roots and tubers, and vegetables dominate global production volumes.</w:t>
      </w:r>
    </w:p>
    <w:p w14:paraId="10EA7278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Maize, rice, and wheat remain central pillars of food security given their scale and caloric importance.</w:t>
      </w:r>
    </w:p>
    <w:p w14:paraId="0D362762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These categories guide which crops are prioritized for deeper yield and risk-based analysis.</w:t>
      </w:r>
    </w:p>
    <w:p w14:paraId="7191A082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Top 10 Crops Chart</w:t>
      </w:r>
    </w:p>
    <w:p w14:paraId="7AC7871F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Key Crop Yield Trajectories (1961–2023)</w:t>
      </w:r>
    </w:p>
    <w:p w14:paraId="53979FAE" w14:textId="6398AFDB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 xml:space="preserve">Most major </w:t>
      </w:r>
      <w:proofErr w:type="gramStart"/>
      <w:r w:rsidRPr="006908AE">
        <w:rPr>
          <w:rFonts w:ascii="Times New Roman" w:hAnsi="Times New Roman" w:cs="Times New Roman"/>
          <w:color w:val="000000" w:themeColor="text1"/>
        </w:rPr>
        <w:t>crops—</w:t>
      </w:r>
      <w:proofErr w:type="gramEnd"/>
      <w:r w:rsidRPr="006908AE">
        <w:rPr>
          <w:rFonts w:ascii="Times New Roman" w:hAnsi="Times New Roman" w:cs="Times New Roman"/>
          <w:color w:val="000000" w:themeColor="text1"/>
        </w:rPr>
        <w:t xml:space="preserve">including maize, rice, wheat, sugar crops, and </w:t>
      </w:r>
      <w:r w:rsidR="000C18D1" w:rsidRPr="006908AE">
        <w:rPr>
          <w:rFonts w:ascii="Times New Roman" w:hAnsi="Times New Roman" w:cs="Times New Roman"/>
          <w:color w:val="000000" w:themeColor="text1"/>
        </w:rPr>
        <w:t xml:space="preserve">vegetables, </w:t>
      </w:r>
      <w:r w:rsidRPr="006908AE">
        <w:rPr>
          <w:rFonts w:ascii="Times New Roman" w:hAnsi="Times New Roman" w:cs="Times New Roman"/>
          <w:color w:val="000000" w:themeColor="text1"/>
        </w:rPr>
        <w:t>show strong upward yield trajectories across six decades.</w:t>
      </w:r>
    </w:p>
    <w:p w14:paraId="7AD5B3F1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Moderate-growth crops expand mainly through area rather than major yield breakthroughs.</w:t>
      </w:r>
    </w:p>
    <w:p w14:paraId="73652DAB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Volatile or stagnating crops highlight structural or climate constraints that hinder productivity gains.</w:t>
      </w:r>
    </w:p>
    <w:p w14:paraId="0B95E28C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Yield Trends for Maize, Rice, Wheat</w:t>
      </w:r>
    </w:p>
    <w:p w14:paraId="1020DE38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Country Performance – Rice</w:t>
      </w:r>
    </w:p>
    <w:p w14:paraId="57F9B726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China, Viet Nam, Indonesia, and Bangladesh demonstrate rapid modernization and strong upward yield trends.</w:t>
      </w:r>
    </w:p>
    <w:p w14:paraId="21F41E79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India and the Philippines improve steadily but at slower rates, reflecting mixed irrigation and technology adoption.</w:t>
      </w:r>
    </w:p>
    <w:p w14:paraId="2D41D07D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Thailand, Myanmar, and Japan show limited or declining growth, signaling structural or demographic constraints.</w:t>
      </w:r>
    </w:p>
    <w:p w14:paraId="50E81EA8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Rice Yield Comparison Chart</w:t>
      </w:r>
    </w:p>
    <w:p w14:paraId="73ECE54D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Country Performance – Wheat</w:t>
      </w:r>
    </w:p>
    <w:p w14:paraId="6225A5BE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China, France, and Russia lead global wheat productivity with strong long-term improvement.</w:t>
      </w:r>
    </w:p>
    <w:p w14:paraId="59546415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India and Türkiye show moderate progress but still face agronomic and climate challenges.</w:t>
      </w:r>
    </w:p>
    <w:p w14:paraId="15904F5A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Canada and Australia exhibit high climate-driven volatility, making yields unpredictable despite overall positive trajectories.</w:t>
      </w:r>
    </w:p>
    <w:p w14:paraId="5C40DB61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Wheat Yield Trend Chart</w:t>
      </w:r>
    </w:p>
    <w:p w14:paraId="3F2CEE1B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Country Performance – Maize</w:t>
      </w:r>
    </w:p>
    <w:p w14:paraId="39B761CB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 United States continues to achieve the highest global maize yields through advanced technology and precision agriculture.</w:t>
      </w:r>
    </w:p>
    <w:p w14:paraId="4B2F765F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China shows the fastest long-run improvement, while Brazil’s rapid late-stage rise reflects modern tropical agronomy.</w:t>
      </w:r>
    </w:p>
    <w:p w14:paraId="76DCFB3E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These shifts reposition global maize supply chains and increase resilience—but also reveal widening yield gaps elsewhere.</w:t>
      </w:r>
    </w:p>
    <w:p w14:paraId="169F6679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Maize Yield Trend Chart</w:t>
      </w:r>
    </w:p>
    <w:p w14:paraId="7C2AE7A0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lastRenderedPageBreak/>
        <w:t>Food Security Vulnerability Analysis</w:t>
      </w:r>
    </w:p>
    <w:p w14:paraId="1504E3C2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Regions such as the Horn of Africa, Sahel Belt, Southern Africa, SIDS, and water-scarce MENA countries face structural food security risks.</w:t>
      </w:r>
    </w:p>
    <w:p w14:paraId="77A23C0D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These risks stem from low yields, high climate volatility, and slow long-term improvement across key staples.</w:t>
      </w:r>
    </w:p>
    <w:p w14:paraId="25E6AFDE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Addressing these vulnerabilities requires integrated strategies that combine productivity gains with climate and market resilience.</w:t>
      </w:r>
    </w:p>
    <w:p w14:paraId="1DF595EB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Vulnerability Matrix Chart</w:t>
      </w:r>
    </w:p>
    <w:p w14:paraId="718509AC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Statistical Significance (Maize Yield Test)</w:t>
      </w:r>
    </w:p>
    <w:p w14:paraId="17D0F942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Maize yields increased sharply from ~16,477 hg/ha in 1961–1970 to ~47,149 hg/ha in 2010–2023, confirmed by a t-statistic of 36.21 and p-value of 7.1×10⁻²⁴⁴.</w:t>
      </w:r>
    </w:p>
    <w:p w14:paraId="46F71080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 extremely small p-value shows overwhelming evidence of structural, long-term improvement.</w:t>
      </w:r>
    </w:p>
    <w:p w14:paraId="0F40C8D5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These findings validate that modern maize systems are far more efficient than historical baselines.</w:t>
      </w:r>
    </w:p>
    <w:p w14:paraId="43654E0C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Yield Distribution Comparison Chart</w:t>
      </w:r>
    </w:p>
    <w:p w14:paraId="05D7F277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New Topic 1 – Climate Resilience Outlook</w:t>
      </w:r>
    </w:p>
    <w:p w14:paraId="487D6AFD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Climate volatility is increasing globally, causing more frequent dips and uncertainty in yield trajectories.</w:t>
      </w:r>
    </w:p>
    <w:p w14:paraId="0E7E48C0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Resilience depends on drought-tolerant seeds, diversified cropping systems, and strong climate-forecasting capabilities.</w:t>
      </w:r>
    </w:p>
    <w:p w14:paraId="1DB9A340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Countries that proactively adopt adaptation strategies will maintain stability even in high-risk climate environments.</w:t>
      </w:r>
    </w:p>
    <w:p w14:paraId="75B89C3F" w14:textId="77777777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New Topic 2 – Global Yield Inequality Gap</w:t>
      </w:r>
    </w:p>
    <w:p w14:paraId="464F2076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Yield gaps between high-income and low-income regions continue to widen due to differences in technology, irrigation, mechanization, and R&amp;D investment.</w:t>
      </w:r>
    </w:p>
    <w:p w14:paraId="649D2735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These disparities amplify systemic food-security risks, especially in rapidly growing populations.</w:t>
      </w:r>
    </w:p>
    <w:p w14:paraId="7719994D" w14:textId="4EA66C27" w:rsidR="000C18D1" w:rsidRPr="000C18D1" w:rsidRDefault="006908AE" w:rsidP="000C18D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Closing the gap requires targeted investment, knowledge transfer, and capacity building across vulnerable regions.</w:t>
      </w:r>
    </w:p>
    <w:p w14:paraId="618FFD71" w14:textId="77777777" w:rsidR="000C18D1" w:rsidRPr="006908AE" w:rsidRDefault="000C18D1" w:rsidP="000C18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Strategic Recommendations</w:t>
      </w:r>
    </w:p>
    <w:p w14:paraId="6BFAB9C1" w14:textId="77777777" w:rsidR="000C18D1" w:rsidRPr="006908AE" w:rsidRDefault="000C18D1" w:rsidP="000C18D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High-priority actions include accelerating productivity in climate-exposed regions, diversifying global cereal supply, and investing in wheat R&amp;D.</w:t>
      </w:r>
    </w:p>
    <w:p w14:paraId="0CB51BED" w14:textId="77777777" w:rsidR="000C18D1" w:rsidRPr="006908AE" w:rsidRDefault="000C18D1" w:rsidP="000C18D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Countries should expand climate adaptation tools, precision agriculture, and early-warning systems to reduce volatility.</w:t>
      </w:r>
    </w:p>
    <w:p w14:paraId="1AFCFB7D" w14:textId="77777777" w:rsidR="000C18D1" w:rsidRPr="006908AE" w:rsidRDefault="000C18D1" w:rsidP="000C18D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Strengthening logistics, trade corridors, and infrastructure further supports resilience in global food systems.</w:t>
      </w:r>
    </w:p>
    <w:p w14:paraId="197C36BC" w14:textId="5EE46239" w:rsidR="000C18D1" w:rsidRPr="000C18D1" w:rsidRDefault="000C18D1" w:rsidP="000C18D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PLACEHOLDER: Strategy Framework Diagram</w:t>
      </w:r>
    </w:p>
    <w:p w14:paraId="26D1DE2D" w14:textId="2C1B0C12" w:rsidR="0085550A" w:rsidRPr="006908AE" w:rsidRDefault="006908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lastRenderedPageBreak/>
        <w:t>Conclusion</w:t>
      </w:r>
    </w:p>
    <w:p w14:paraId="5C452B27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Global productivity has improved substantially across major crops, yet climate risks and widening yield inequality highlight emerging vulnerabilities.</w:t>
      </w:r>
    </w:p>
    <w:p w14:paraId="649569F5" w14:textId="77777777" w:rsidR="0085550A" w:rsidRPr="006908AE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Countries with strong technological adoption continue to advance, while others face structural constraints.</w:t>
      </w:r>
    </w:p>
    <w:p w14:paraId="530EC055" w14:textId="77777777" w:rsidR="0085550A" w:rsidRDefault="006908AE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908AE">
        <w:rPr>
          <w:rFonts w:ascii="Times New Roman" w:hAnsi="Times New Roman" w:cs="Times New Roman"/>
          <w:color w:val="000000" w:themeColor="text1"/>
        </w:rPr>
        <w:t>Strategic, resilience-focused investments are essential to stabilize global food systems in the decades ahead.</w:t>
      </w:r>
    </w:p>
    <w:p w14:paraId="7C3714DE" w14:textId="77777777" w:rsidR="000C18D1" w:rsidRPr="006908AE" w:rsidRDefault="000C18D1" w:rsidP="000C18D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sectPr w:rsidR="000C18D1" w:rsidRPr="006908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181868">
    <w:abstractNumId w:val="8"/>
  </w:num>
  <w:num w:numId="2" w16cid:durableId="1440876951">
    <w:abstractNumId w:val="6"/>
  </w:num>
  <w:num w:numId="3" w16cid:durableId="939341069">
    <w:abstractNumId w:val="5"/>
  </w:num>
  <w:num w:numId="4" w16cid:durableId="1191340405">
    <w:abstractNumId w:val="4"/>
  </w:num>
  <w:num w:numId="5" w16cid:durableId="1914199453">
    <w:abstractNumId w:val="7"/>
  </w:num>
  <w:num w:numId="6" w16cid:durableId="1411390583">
    <w:abstractNumId w:val="3"/>
  </w:num>
  <w:num w:numId="7" w16cid:durableId="2100976513">
    <w:abstractNumId w:val="2"/>
  </w:num>
  <w:num w:numId="8" w16cid:durableId="2002854277">
    <w:abstractNumId w:val="1"/>
  </w:num>
  <w:num w:numId="9" w16cid:durableId="10808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C18D1"/>
    <w:rsid w:val="0015074B"/>
    <w:rsid w:val="0029639D"/>
    <w:rsid w:val="00326F90"/>
    <w:rsid w:val="005E74B6"/>
    <w:rsid w:val="006908AE"/>
    <w:rsid w:val="0071168F"/>
    <w:rsid w:val="0085550A"/>
    <w:rsid w:val="00A0572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95392"/>
  <w15:docId w15:val="{77F9EF98-E1DC-44E2-9D99-803CBAD2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71678E-97C9-484C-ACFA-69F3A2BC92B0}">
  <we:reference id="wa200005740" version="1.0.0.0" store="en-US" storeType="OMEX"/>
  <we:alternateReferences>
    <we:reference id="WA200005740" version="1.0.0.0" store="WA20000574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B1DB8-1896-40D3-8A59-5F897E987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Priyu Kukreti</cp:lastModifiedBy>
  <cp:revision>8</cp:revision>
  <dcterms:created xsi:type="dcterms:W3CDTF">2013-12-23T23:15:00Z</dcterms:created>
  <dcterms:modified xsi:type="dcterms:W3CDTF">2025-12-02T22:54:00Z</dcterms:modified>
  <cp:category/>
</cp:coreProperties>
</file>