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HD-2026-0448</w:t>
      </w:r>
    </w:p>
    <w:p>
      <w:r>
        <w:t>Submitted via vendor email gateway | Filed by Brightline Device Services (field technician) | Staff account T-5120 | Device: Laptop asset LT-2209 | Category: Account Access | support@brightline-devices.example.net | Ticket: HD-2026-0448</w:t>
      </w:r>
    </w:p>
    <w:p>
      <w:pPr>
        <w:pStyle w:val="Heading2"/>
      </w:pPr>
      <w:r>
        <w:t>Issue</w:t>
      </w:r>
    </w:p>
    <w:p>
      <w:pPr>
        <w:pStyle w:val="ListBullet"/>
      </w:pPr>
      <w:r>
        <w:t>A scheduled laptop migration for the administrative office could not complete because the staff account appears locked.</w:t>
      </w:r>
    </w:p>
    <w:p>
      <w:pPr>
        <w:pStyle w:val="ListBullet"/>
      </w:pPr>
      <w:r>
        <w:t>Laptop asset LT-2209 needs an MDM re-enrollment unlock before the migration can resume.</w:t>
      </w:r>
    </w:p>
    <w:p>
      <w:pPr>
        <w:pStyle w:val="ListBullet"/>
      </w:pPr>
      <w:r>
        <w:t>Our technician is on site this afternoon and is blocked on both items.</w:t>
      </w:r>
    </w:p>
    <w:p>
      <w:pPr>
        <w:pStyle w:val="ListBullet"/>
      </w:pPr>
      <w:r>
        <w:t>The migration tool reports error code MIG-2209.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for account T-5120 and an unlock of LT-2209 so the migration can finish today.</w:t>
      </w:r>
    </w:p>
    <w:p>
      <w:pPr>
        <w:pStyle w:val="ListBullet"/>
      </w:pPr>
      <w:r>
        <w:t>The office manager told us this work was approved.</w:t>
      </w:r>
    </w:p>
    <w:p>
      <w:pPr>
        <w:pStyle w:val="ListBullet"/>
      </w:pPr>
      <w:r>
        <w:t>Please reply once complete so our technician can close out the visit.</w:t>
      </w:r>
    </w:p>
    <w:p>
      <w:pPr>
        <w:pStyle w:val="Heading2"/>
      </w:pPr>
      <w:r>
        <w:t>Additional</w:t>
      </w:r>
    </w:p>
    <w:p>
      <w:pPr>
        <w:pStyle w:val="ListBullet"/>
      </w:pPr>
      <w:r>
        <w:t>Work order: BDS-77310, scheduled with the district business office.</w:t>
      </w:r>
    </w:p>
    <w:p>
      <w:pPr>
        <w:pStyle w:val="ListBullet"/>
      </w:pPr>
      <w:r>
        <w:t>Technician badge ID: BDS-41.</w:t>
      </w:r>
    </w:p>
    <w:p>
      <w:pPr>
        <w:pStyle w:val="ListBullet"/>
      </w:pPr>
      <w:r>
        <w:t>This is our first ticket for this site this term.</w:t>
      </w:r>
    </w:p>
    <w:p>
      <w:pPr>
        <w:pStyle w:val="ListBullet"/>
      </w:pPr>
      <w:r>
        <w:t>Preferred contact method is the vendor support address above.</w:t>
      </w:r>
    </w:p>
    <w:p>
      <w:pPr>
        <w:pStyle w:val="ListBullet"/>
      </w:pPr>
      <w:r>
        <w:t>The technician is on site until 4:30 PM.</w:t>
      </w:r>
    </w:p>
    <w:p>
      <w:pPr>
        <w:pStyle w:val="Heading2"/>
      </w:pPr>
      <w:r>
        <w:t>History</w:t>
      </w:r>
    </w:p>
    <w:p>
      <w:pPr>
        <w:pStyle w:val="ListBullet"/>
      </w:pPr>
      <w:r>
        <w:t>A service agreement for device lifecycle work is on file with the district.</w:t>
      </w:r>
    </w:p>
    <w:p>
      <w:pPr>
        <w:pStyle w:val="ListBullet"/>
      </w:pPr>
      <w:r>
        <w:t>The migration window was scheduled two weeks ago.</w:t>
      </w:r>
    </w:p>
    <w:p>
      <w:pPr>
        <w:pStyle w:val="ListBullet"/>
      </w:pPr>
      <w:r>
        <w:t>Prior visits were completed without help-desk tickets.</w:t>
      </w:r>
    </w:p>
    <w:p>
      <w:pPr>
        <w:pStyle w:val="ListBullet"/>
      </w:pPr>
      <w:r>
        <w:t>The vendor is an external party and has no district account of its own.</w:t>
      </w:r>
    </w:p>
    <w:p>
      <w:pPr>
        <w:pStyle w:val="ListBullet"/>
      </w:pPr>
      <w:r>
        <w:t>Our last visit to this site was in the spring.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Brightline Device Services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