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right"/>
      </w:pPr>
      <w:r>
        <w:rPr>
          <w:rFonts w:ascii="Times New Roman" w:hAnsi="Times New Roman" w:eastAsia="Times New Roman"/>
          <w:b/>
          <w:i w:val="0"/>
          <w:sz w:val="24"/>
          <w:u w:val="none"/>
        </w:rPr>
        <w:t>Group No. 69</w:t>
      </w:r>
    </w:p>
    <w:p>
      <w:pPr>
        <w:spacing w:after="40" w:before="0"/>
        <w:jc w:val="center"/>
      </w:pPr>
      <w:r>
        <w:rPr>
          <w:rFonts w:ascii="Times New Roman" w:hAnsi="Times New Roman" w:eastAsia="Times New Roman"/>
          <w:b/>
          <w:i w:val="0"/>
          <w:sz w:val="30"/>
          <w:u w:val="none"/>
        </w:rPr>
        <w:t>PUNE INSTITUTE OF COMPUTER TECHNOLOGY</w:t>
      </w:r>
    </w:p>
    <w:p>
      <w:pPr>
        <w:spacing w:after="200" w:before="0"/>
        <w:jc w:val="center"/>
      </w:pPr>
      <w:r>
        <w:rPr>
          <w:rFonts w:ascii="Times New Roman" w:hAnsi="Times New Roman" w:eastAsia="Times New Roman"/>
          <w:b/>
          <w:i w:val="0"/>
          <w:sz w:val="26"/>
          <w:u w:val="none"/>
        </w:rPr>
        <w:t>Dhankawadi, Pune – 43.</w:t>
      </w:r>
    </w:p>
    <w:p>
      <w:pPr>
        <w:spacing w:after="200" w:before="0"/>
        <w:jc w:val="center"/>
      </w:pPr>
      <w:r>
        <w:rPr>
          <w:rFonts w:ascii="Times New Roman" w:hAnsi="Times New Roman" w:eastAsia="Times New Roman"/>
          <w:b w:val="0"/>
          <w:i/>
          <w:color w:val="888888"/>
          <w:sz w:val="22"/>
          <w:u w:val="none"/>
        </w:rPr>
        <w:t>[ Insert PICT Logo Here ]</w:t>
      </w:r>
    </w:p>
    <w:p>
      <w:pPr>
        <w:spacing w:after="280" w:before="0"/>
        <w:jc w:val="center"/>
      </w:pPr>
      <w:r>
        <w:rPr>
          <w:rFonts w:ascii="Times New Roman" w:hAnsi="Times New Roman" w:eastAsia="Times New Roman"/>
          <w:b/>
          <w:i w:val="0"/>
          <w:sz w:val="22"/>
          <w:u w:val="none"/>
        </w:rPr>
        <w:t>DEPARTMENT OF ELECTRONICS &amp; TELECOMMUNICATION ENGINEERING (E&amp;TCE)</w:t>
      </w:r>
    </w:p>
    <w:p>
      <w:pPr>
        <w:spacing w:after="40" w:before="0"/>
        <w:jc w:val="center"/>
      </w:pPr>
      <w:r>
        <w:rPr>
          <w:rFonts w:ascii="Times New Roman" w:hAnsi="Times New Roman" w:eastAsia="Times New Roman"/>
          <w:b w:val="0"/>
          <w:i w:val="0"/>
          <w:sz w:val="26"/>
          <w:u w:val="none"/>
        </w:rPr>
        <w:t>A</w:t>
      </w:r>
    </w:p>
    <w:p>
      <w:pPr>
        <w:spacing w:after="40" w:before="0"/>
        <w:jc w:val="center"/>
      </w:pPr>
      <w:r>
        <w:rPr>
          <w:rFonts w:ascii="Times New Roman" w:hAnsi="Times New Roman" w:eastAsia="Times New Roman"/>
          <w:b/>
          <w:i w:val="0"/>
          <w:sz w:val="32"/>
          <w:u w:val="none"/>
        </w:rPr>
        <w:t>SYNOPSIS</w:t>
      </w:r>
    </w:p>
    <w:p>
      <w:pPr>
        <w:spacing w:after="240" w:before="0"/>
        <w:jc w:val="center"/>
      </w:pPr>
      <w:r>
        <w:rPr>
          <w:rFonts w:ascii="Times New Roman" w:hAnsi="Times New Roman" w:eastAsia="Times New Roman"/>
          <w:b w:val="0"/>
          <w:i w:val="0"/>
          <w:sz w:val="26"/>
          <w:u w:val="none"/>
        </w:rPr>
        <w:t>ON</w:t>
      </w:r>
    </w:p>
    <w:p>
      <w:pPr>
        <w:spacing w:after="280" w:before="0"/>
        <w:jc w:val="center"/>
      </w:pPr>
      <w:r>
        <w:rPr>
          <w:rFonts w:ascii="Times New Roman" w:hAnsi="Times New Roman" w:eastAsia="Times New Roman"/>
          <w:b/>
          <w:i w:val="0"/>
          <w:color w:val="B00000"/>
          <w:sz w:val="30"/>
          <w:u w:val="none"/>
        </w:rPr>
        <w:t>“OmniShield: An Autonomous LLM-Driven Security Operations Center (SOC) with Adversarial Prompt Robustness and Fine-Tuned MITRE ATT&amp;CK Attribution”</w:t>
      </w:r>
    </w:p>
    <w:p>
      <w:pPr>
        <w:spacing w:after="160" w:before="0"/>
        <w:jc w:val="center"/>
      </w:pPr>
      <w:r>
        <w:rPr>
          <w:rFonts w:ascii="Times New Roman" w:hAnsi="Times New Roman" w:eastAsia="Times New Roman"/>
          <w:b w:val="0"/>
          <w:i/>
          <w:sz w:val="26"/>
          <w:u w:val="none"/>
        </w:rPr>
        <w:t>Project by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DDDDD"/>
          </w:tcPr>
          <w:p>
            <w:pPr>
              <w:spacing w:after="40" w:before="40"/>
            </w:pPr>
            <w:r/>
            <w:r>
              <w:rPr>
                <w:rFonts w:ascii="Times New Roman" w:hAnsi="Times New Roman" w:eastAsia="Times New Roman"/>
                <w:b/>
                <w:i w:val="0"/>
                <w:sz w:val="24"/>
                <w:u w:val="none"/>
              </w:rPr>
              <w:t>Roll No</w:t>
            </w:r>
          </w:p>
        </w:tc>
        <w:tc>
          <w:tcPr>
            <w:tcW w:type="dxa" w:w="3120"/>
            <w:shd w:val="clear" w:color="auto" w:fill="DDDDDD"/>
          </w:tcPr>
          <w:p>
            <w:pPr>
              <w:spacing w:after="40" w:before="40"/>
            </w:pPr>
            <w:r/>
            <w:r>
              <w:rPr>
                <w:rFonts w:ascii="Times New Roman" w:hAnsi="Times New Roman" w:eastAsia="Times New Roman"/>
                <w:b/>
                <w:i w:val="0"/>
                <w:sz w:val="24"/>
                <w:u w:val="none"/>
              </w:rPr>
              <w:t>Name</w:t>
            </w:r>
          </w:p>
        </w:tc>
        <w:tc>
          <w:tcPr>
            <w:tcW w:type="dxa" w:w="3120"/>
            <w:shd w:val="clear" w:color="auto" w:fill="DDDDDD"/>
          </w:tcPr>
          <w:p>
            <w:pPr>
              <w:spacing w:after="40" w:before="40"/>
            </w:pPr>
            <w:r/>
            <w:r>
              <w:rPr>
                <w:rFonts w:ascii="Times New Roman" w:hAnsi="Times New Roman" w:eastAsia="Times New Roman"/>
                <w:b/>
                <w:i w:val="0"/>
                <w:sz w:val="24"/>
                <w:u w:val="none"/>
              </w:rPr>
              <w:t>Preferred Guides</w:t>
            </w:r>
          </w:p>
        </w:tc>
      </w:tr>
      <w:tr>
        <w:tc>
          <w:tcPr>
            <w:tcW w:type="dxa" w:w="3120"/>
          </w:tcPr>
          <w:p>
            <w:pPr>
              <w:spacing w:after="40" w:before="40"/>
            </w:pPr>
            <w:r/>
            <w:r>
              <w:rPr>
                <w:rFonts w:ascii="Times New Roman" w:hAnsi="Times New Roman" w:eastAsia="Times New Roman"/>
                <w:b w:val="0"/>
                <w:i w:val="0"/>
                <w:sz w:val="24"/>
                <w:u w:val="none"/>
              </w:rPr>
              <w:t>42373</w:t>
            </w:r>
          </w:p>
        </w:tc>
        <w:tc>
          <w:tcPr>
            <w:tcW w:type="dxa" w:w="3120"/>
          </w:tcPr>
          <w:p>
            <w:pPr>
              <w:spacing w:after="40" w:before="40"/>
            </w:pPr>
            <w:r/>
            <w:r>
              <w:rPr>
                <w:rFonts w:ascii="Times New Roman" w:hAnsi="Times New Roman" w:eastAsia="Times New Roman"/>
                <w:b w:val="0"/>
                <w:i w:val="0"/>
                <w:sz w:val="24"/>
                <w:u w:val="none"/>
              </w:rPr>
              <w:t>Soham Kharat</w:t>
            </w:r>
          </w:p>
        </w:tc>
        <w:tc>
          <w:tcPr>
            <w:tcW w:type="dxa" w:w="3120"/>
          </w:tcPr>
          <w:p>
            <w:pPr>
              <w:spacing w:after="40" w:before="40"/>
            </w:pPr>
            <w:r/>
            <w:r>
              <w:rPr>
                <w:rFonts w:ascii="Times New Roman" w:hAnsi="Times New Roman" w:eastAsia="Times New Roman"/>
                <w:b w:val="0"/>
                <w:i w:val="0"/>
                <w:sz w:val="24"/>
                <w:u w:val="none"/>
              </w:rPr>
            </w:r>
          </w:p>
        </w:tc>
      </w:tr>
    </w:tbl>
    <w:p>
      <w:r>
        <w:br w:type="page"/>
      </w:r>
    </w:p>
    <w:p>
      <w:pPr>
        <w:spacing w:before="200" w:after="120"/>
      </w:pPr>
      <w:r>
        <w:rPr>
          <w:rFonts w:ascii="Times New Roman" w:hAnsi="Times New Roman" w:eastAsia="Times New Roman"/>
          <w:b/>
          <w:i w:val="0"/>
          <w:sz w:val="28"/>
          <w:u w:val="single"/>
        </w:rPr>
        <w:t>AIM OF PROJECT :-</w:t>
      </w:r>
    </w:p>
    <w:p>
      <w:pPr>
        <w:spacing w:after="120" w:before="0"/>
        <w:jc w:val="both"/>
      </w:pPr>
      <w:r>
        <w:rPr>
          <w:rFonts w:ascii="Times New Roman" w:hAnsi="Times New Roman" w:eastAsia="Times New Roman"/>
          <w:b w:val="0"/>
          <w:i w:val="0"/>
          <w:sz w:val="24"/>
          <w:u w:val="none"/>
        </w:rPr>
        <w:t>To design, implement, and empirically benchmark a closed-loop, privacy-preserving Autonomous Security Operations Center (SOC) that operates entirely on locally-hosted Large Language Models (Llama 3.1 8B via Ollama). The system unifies four contributions within a single reproducible platform: (i) a baseline-poisoning-resistant rolling z-score anomaly detector for streaming network telemetry; (ii) a controlled comparative study of Retrieval-Augmented Generation (RAG) versus QLoRA parameter-efficient fine-tuning for attributing detected anomalies to MITRE ATT&amp;CK techniques; (iii) an adversarial prompt-injection defense harness that quantifies and hardens the robustness of the LLM threat-reasoning layer; and (iv) a human-in-the-loop SOAR response mechanism that isolates a malicious host via the Windows Firewall only under explicit analyst authorization. The overarching objective is to demonstrate that a fully offline, auditable AI-SOC can materially reduce analyst alert fatigue without surrendering the safety, determinism, and data-sovereignty guarantees demanded by security-critical environments.</w:t>
      </w:r>
    </w:p>
    <w:p>
      <w:pPr>
        <w:spacing w:before="200" w:after="120"/>
      </w:pPr>
      <w:r>
        <w:rPr>
          <w:rFonts w:ascii="Times New Roman" w:hAnsi="Times New Roman" w:eastAsia="Times New Roman"/>
          <w:b/>
          <w:i w:val="0"/>
          <w:sz w:val="28"/>
          <w:u w:val="single"/>
        </w:rPr>
        <w:t>INTRODUCTION :-</w:t>
      </w:r>
    </w:p>
    <w:p>
      <w:pPr>
        <w:spacing w:after="120" w:before="0"/>
        <w:jc w:val="both"/>
      </w:pPr>
      <w:r>
        <w:rPr>
          <w:rFonts w:ascii="Times New Roman" w:hAnsi="Times New Roman" w:eastAsia="Times New Roman"/>
          <w:b w:val="0"/>
          <w:i w:val="0"/>
          <w:sz w:val="24"/>
          <w:u w:val="none"/>
        </w:rPr>
        <w:t>Modern Security Operations Centers are structurally overwhelmed by alert fatigue. Signature- and rule-based detection stacks (SIEM/IDS) emit tens of thousands of low-context alerts per day, the overwhelming majority of which are false positives. Analysts forced to triage this volume manually exhibit measurable desensitization: genuine intrusions are dismissed, mean-time-to-respond degrades, and skilled personnel attrite. The core deficiency is not detection sensitivity but contextual attribution and prioritization — translating a raw statistical anomaly into an actionable, framework-aligned threat hypothesis with a recommended containment action.</w:t>
      </w:r>
    </w:p>
    <w:p>
      <w:pPr>
        <w:spacing w:after="120" w:before="0"/>
        <w:jc w:val="both"/>
      </w:pPr>
      <w:r>
        <w:rPr>
          <w:rFonts w:ascii="Times New Roman" w:hAnsi="Times New Roman" w:eastAsia="Times New Roman"/>
          <w:b w:val="0"/>
          <w:i w:val="0"/>
          <w:sz w:val="24"/>
          <w:u w:val="none"/>
        </w:rPr>
        <w:t>OmniShield addresses this as a fully closed-loop detection → attribution → response system built on a modular, locally-hosted stack: a FastAPI backend, a LangChain-orchestrated Ollama inference layer, a ChromaDB vector store embedding the real MITRE ATT&amp;CK Enterprise knowledge base, and a React 19 + Vite analyst dashboard communicating over WebSocket (live telemetry) and authenticated REST. No cloud inference APIs are used — every model invocation is local, a functional requirement rather than an optimization when the system itself processes sensitive security telemetry.</w:t>
      </w:r>
    </w:p>
    <w:p>
      <w:pPr>
        <w:spacing w:after="120" w:before="0"/>
        <w:jc w:val="both"/>
      </w:pPr>
      <w:r>
        <w:rPr>
          <w:rFonts w:ascii="Times New Roman" w:hAnsi="Times New Roman" w:eastAsia="Times New Roman"/>
          <w:b w:val="0"/>
          <w:i w:val="0"/>
          <w:sz w:val="24"/>
          <w:u w:val="none"/>
        </w:rPr>
        <w:t>Beyond the engineering artifact, OmniShield is framed around two formal research tracks, each supported by a dedicated, reproducible evaluation harness:</w:t>
      </w:r>
    </w:p>
    <w:p>
      <w:pPr>
        <w:spacing w:after="80"/>
        <w:jc w:val="both"/>
      </w:pPr>
      <w:r>
        <w:rPr>
          <w:rFonts w:ascii="Times New Roman" w:hAnsi="Times New Roman" w:eastAsia="Times New Roman"/>
          <w:b/>
          <w:i w:val="0"/>
          <w:sz w:val="24"/>
          <w:u w:val="none"/>
        </w:rPr>
        <w:t xml:space="preserve">(a) Comparative Attribution Benchmark — RAG vs. QLoRA Fine-Tuning. </w:t>
      </w:r>
      <w:r>
        <w:rPr>
          <w:rFonts w:ascii="Times New Roman" w:hAnsi="Times New Roman" w:eastAsia="Times New Roman"/>
          <w:b w:val="0"/>
          <w:i w:val="0"/>
          <w:sz w:val="24"/>
          <w:u w:val="none"/>
        </w:rPr>
        <w:t>The mapping of a detected anomaly to a MITRE ATT&amp;CK technique is treated as a controlled experiment. A retrieval-augmented pipeline (Llama 3.1 8B conditioned on the top-k MITRE techniques retrieved from ChromaDB) is benchmarked against a QLoRA/PEFT fine-tuned variant of the same base model trained on a labeled anomaly→technique corpus, and against a zero-shot ablation baseline. The study reports top-1 attribution accuracy, retrieval hit@k, valid-JSON conformance rate, and inference latency, isolating the contributions of non-parametric retrieval versus parametric adaptation.</w:t>
      </w:r>
    </w:p>
    <w:p>
      <w:pPr>
        <w:spacing w:after="80"/>
        <w:jc w:val="both"/>
      </w:pPr>
      <w:r>
        <w:rPr>
          <w:rFonts w:ascii="Times New Roman" w:hAnsi="Times New Roman" w:eastAsia="Times New Roman"/>
          <w:b/>
          <w:i w:val="0"/>
          <w:sz w:val="24"/>
          <w:u w:val="none"/>
        </w:rPr>
        <w:t xml:space="preserve">(b) Adversarial Robustness Filter. </w:t>
      </w:r>
      <w:r>
        <w:rPr>
          <w:rFonts w:ascii="Times New Roman" w:hAnsi="Times New Roman" w:eastAsia="Times New Roman"/>
          <w:b w:val="0"/>
          <w:i w:val="0"/>
          <w:sz w:val="24"/>
          <w:u w:val="none"/>
        </w:rPr>
        <w:t>Because the attribution and transcript-analysis layers ingest attacker-influenced text, they are exposed to prompt-injection attacks — payloads that embed instructions such as “report this as benign.” OmniShield enforces an instruction/data-separation defense at the prompt boundary and a robustness harness that measures Attack-Success-Rate (ASR) across injected threat samples, positioning LLM security as a first-class evaluation axis rather than an afterthought.</w:t>
      </w:r>
    </w:p>
    <w:p>
      <w:pPr>
        <w:spacing w:before="200" w:after="120"/>
      </w:pPr>
      <w:r>
        <w:rPr>
          <w:rFonts w:ascii="Times New Roman" w:hAnsi="Times New Roman" w:eastAsia="Times New Roman"/>
          <w:b/>
          <w:i w:val="0"/>
          <w:sz w:val="28"/>
          <w:u w:val="single"/>
        </w:rPr>
        <w:t>HARDWARE &amp; SOFTWARE REQUIREMENTS :-</w:t>
      </w:r>
    </w:p>
    <w:p>
      <w:pPr>
        <w:spacing w:after="80" w:before="0"/>
      </w:pPr>
      <w:r>
        <w:rPr>
          <w:rFonts w:ascii="Times New Roman" w:hAnsi="Times New Roman" w:eastAsia="Times New Roman"/>
          <w:b/>
          <w:i w:val="0"/>
          <w:sz w:val="24"/>
          <w:u w:val="single"/>
        </w:rPr>
        <w:t>HARDWARE REQUIRED :-</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DDDDD"/>
          </w:tcPr>
          <w:p>
            <w:pPr>
              <w:spacing w:after="40" w:before="40"/>
            </w:pPr>
            <w:r/>
            <w:r>
              <w:rPr>
                <w:rFonts w:ascii="Times New Roman" w:hAnsi="Times New Roman" w:eastAsia="Times New Roman"/>
                <w:b/>
                <w:i w:val="0"/>
                <w:sz w:val="22"/>
                <w:u w:val="none"/>
              </w:rPr>
              <w:t>Part / Environment</w:t>
            </w:r>
          </w:p>
        </w:tc>
        <w:tc>
          <w:tcPr>
            <w:tcW w:type="dxa" w:w="3120"/>
            <w:shd w:val="clear" w:color="auto" w:fill="DDDDDD"/>
          </w:tcPr>
          <w:p>
            <w:pPr>
              <w:spacing w:after="40" w:before="40"/>
            </w:pPr>
            <w:r/>
            <w:r>
              <w:rPr>
                <w:rFonts w:ascii="Times New Roman" w:hAnsi="Times New Roman" w:eastAsia="Times New Roman"/>
                <w:b/>
                <w:i w:val="0"/>
                <w:sz w:val="22"/>
                <w:u w:val="none"/>
              </w:rPr>
              <w:t>Technical Specification</w:t>
            </w:r>
          </w:p>
        </w:tc>
        <w:tc>
          <w:tcPr>
            <w:tcW w:type="dxa" w:w="3120"/>
            <w:shd w:val="clear" w:color="auto" w:fill="DDDDDD"/>
          </w:tcPr>
          <w:p>
            <w:pPr>
              <w:spacing w:after="40" w:before="40"/>
            </w:pPr>
            <w:r/>
            <w:r>
              <w:rPr>
                <w:rFonts w:ascii="Times New Roman" w:hAnsi="Times New Roman" w:eastAsia="Times New Roman"/>
                <w:b/>
                <w:i w:val="0"/>
                <w:sz w:val="22"/>
                <w:u w:val="none"/>
              </w:rPr>
              <w:t>Purpose</w:t>
            </w:r>
          </w:p>
        </w:tc>
      </w:tr>
      <w:tr>
        <w:tc>
          <w:tcPr>
            <w:tcW w:type="dxa" w:w="3120"/>
          </w:tcPr>
          <w:p>
            <w:pPr>
              <w:spacing w:after="40" w:before="40"/>
            </w:pPr>
            <w:r/>
            <w:r>
              <w:rPr>
                <w:rFonts w:ascii="Times New Roman" w:hAnsi="Times New Roman" w:eastAsia="Times New Roman"/>
                <w:b/>
                <w:i w:val="0"/>
                <w:sz w:val="22"/>
                <w:u w:val="none"/>
              </w:rPr>
              <w:t>Processor (CPU)</w:t>
            </w:r>
          </w:p>
        </w:tc>
        <w:tc>
          <w:tcPr>
            <w:tcW w:type="dxa" w:w="3120"/>
          </w:tcPr>
          <w:p>
            <w:pPr>
              <w:spacing w:after="40" w:before="40"/>
            </w:pPr>
            <w:r/>
            <w:r>
              <w:rPr>
                <w:rFonts w:ascii="Times New Roman" w:hAnsi="Times New Roman" w:eastAsia="Times New Roman"/>
                <w:b w:val="0"/>
                <w:i w:val="0"/>
                <w:sz w:val="22"/>
                <w:u w:val="none"/>
              </w:rPr>
              <w:t>Intel Core i7 (12th Gen+) / AMD Ryzen 7 5800X, 8 cores</w:t>
            </w:r>
          </w:p>
        </w:tc>
        <w:tc>
          <w:tcPr>
            <w:tcW w:type="dxa" w:w="3120"/>
          </w:tcPr>
          <w:p>
            <w:pPr>
              <w:spacing w:after="40" w:before="40"/>
            </w:pPr>
            <w:r/>
            <w:r>
              <w:rPr>
                <w:rFonts w:ascii="Times New Roman" w:hAnsi="Times New Roman" w:eastAsia="Times New Roman"/>
                <w:b w:val="0"/>
                <w:i w:val="0"/>
                <w:sz w:val="22"/>
                <w:u w:val="none"/>
              </w:rPr>
              <w:t>Backend orchestration, FastAPI services, and data-pipeline execution</w:t>
            </w:r>
          </w:p>
        </w:tc>
      </w:tr>
      <w:tr>
        <w:tc>
          <w:tcPr>
            <w:tcW w:type="dxa" w:w="3120"/>
          </w:tcPr>
          <w:p>
            <w:pPr>
              <w:spacing w:after="40" w:before="40"/>
            </w:pPr>
            <w:r/>
            <w:r>
              <w:rPr>
                <w:rFonts w:ascii="Times New Roman" w:hAnsi="Times New Roman" w:eastAsia="Times New Roman"/>
                <w:b/>
                <w:i w:val="0"/>
                <w:sz w:val="22"/>
                <w:u w:val="none"/>
              </w:rPr>
              <w:t>Graphics (GPU)</w:t>
            </w:r>
          </w:p>
        </w:tc>
        <w:tc>
          <w:tcPr>
            <w:tcW w:type="dxa" w:w="3120"/>
          </w:tcPr>
          <w:p>
            <w:pPr>
              <w:spacing w:after="40" w:before="40"/>
            </w:pPr>
            <w:r/>
            <w:r>
              <w:rPr>
                <w:rFonts w:ascii="Times New Roman" w:hAnsi="Times New Roman" w:eastAsia="Times New Roman"/>
                <w:b w:val="0"/>
                <w:i w:val="0"/>
                <w:sz w:val="22"/>
                <w:u w:val="none"/>
              </w:rPr>
              <w:t>NVIDIA RTX 3060 / RTX 4060, 12 GB VRAM (CUDA-capable)</w:t>
            </w:r>
          </w:p>
        </w:tc>
        <w:tc>
          <w:tcPr>
            <w:tcW w:type="dxa" w:w="3120"/>
          </w:tcPr>
          <w:p>
            <w:pPr>
              <w:spacing w:after="40" w:before="40"/>
            </w:pPr>
            <w:r/>
            <w:r>
              <w:rPr>
                <w:rFonts w:ascii="Times New Roman" w:hAnsi="Times New Roman" w:eastAsia="Times New Roman"/>
                <w:b w:val="0"/>
                <w:i w:val="0"/>
                <w:sz w:val="22"/>
                <w:u w:val="none"/>
              </w:rPr>
              <w:t>Local 8B-parameter LLM inference and QLoRA fine-tuning</w:t>
            </w:r>
          </w:p>
        </w:tc>
      </w:tr>
      <w:tr>
        <w:tc>
          <w:tcPr>
            <w:tcW w:type="dxa" w:w="3120"/>
          </w:tcPr>
          <w:p>
            <w:pPr>
              <w:spacing w:after="40" w:before="40"/>
            </w:pPr>
            <w:r/>
            <w:r>
              <w:rPr>
                <w:rFonts w:ascii="Times New Roman" w:hAnsi="Times New Roman" w:eastAsia="Times New Roman"/>
                <w:b/>
                <w:i w:val="0"/>
                <w:sz w:val="22"/>
                <w:u w:val="none"/>
              </w:rPr>
              <w:t>System Memory</w:t>
            </w:r>
          </w:p>
        </w:tc>
        <w:tc>
          <w:tcPr>
            <w:tcW w:type="dxa" w:w="3120"/>
          </w:tcPr>
          <w:p>
            <w:pPr>
              <w:spacing w:after="40" w:before="40"/>
            </w:pPr>
            <w:r/>
            <w:r>
              <w:rPr>
                <w:rFonts w:ascii="Times New Roman" w:hAnsi="Times New Roman" w:eastAsia="Times New Roman"/>
                <w:b w:val="0"/>
                <w:i w:val="0"/>
                <w:sz w:val="22"/>
                <w:u w:val="none"/>
              </w:rPr>
              <w:t>16 GB RAM (32 GB recommended)</w:t>
            </w:r>
          </w:p>
        </w:tc>
        <w:tc>
          <w:tcPr>
            <w:tcW w:type="dxa" w:w="3120"/>
          </w:tcPr>
          <w:p>
            <w:pPr>
              <w:spacing w:after="40" w:before="40"/>
            </w:pPr>
            <w:r/>
            <w:r>
              <w:rPr>
                <w:rFonts w:ascii="Times New Roman" w:hAnsi="Times New Roman" w:eastAsia="Times New Roman"/>
                <w:b w:val="0"/>
                <w:i w:val="0"/>
                <w:sz w:val="22"/>
                <w:u w:val="none"/>
              </w:rPr>
              <w:t>Concurrent vector store, model, and fine-tuning workloads</w:t>
            </w:r>
          </w:p>
        </w:tc>
      </w:tr>
      <w:tr>
        <w:tc>
          <w:tcPr>
            <w:tcW w:type="dxa" w:w="3120"/>
          </w:tcPr>
          <w:p>
            <w:pPr>
              <w:spacing w:after="40" w:before="40"/>
            </w:pPr>
            <w:r/>
            <w:r>
              <w:rPr>
                <w:rFonts w:ascii="Times New Roman" w:hAnsi="Times New Roman" w:eastAsia="Times New Roman"/>
                <w:b/>
                <w:i w:val="0"/>
                <w:sz w:val="22"/>
                <w:u w:val="none"/>
              </w:rPr>
              <w:t>Storage</w:t>
            </w:r>
          </w:p>
        </w:tc>
        <w:tc>
          <w:tcPr>
            <w:tcW w:type="dxa" w:w="3120"/>
          </w:tcPr>
          <w:p>
            <w:pPr>
              <w:spacing w:after="40" w:before="40"/>
            </w:pPr>
            <w:r/>
            <w:r>
              <w:rPr>
                <w:rFonts w:ascii="Times New Roman" w:hAnsi="Times New Roman" w:eastAsia="Times New Roman"/>
                <w:b w:val="0"/>
                <w:i w:val="0"/>
                <w:sz w:val="22"/>
                <w:u w:val="none"/>
              </w:rPr>
              <w:t>50 GB SSD</w:t>
            </w:r>
          </w:p>
        </w:tc>
        <w:tc>
          <w:tcPr>
            <w:tcW w:type="dxa" w:w="3120"/>
          </w:tcPr>
          <w:p>
            <w:pPr>
              <w:spacing w:after="40" w:before="40"/>
            </w:pPr>
            <w:r/>
            <w:r>
              <w:rPr>
                <w:rFonts w:ascii="Times New Roman" w:hAnsi="Times New Roman" w:eastAsia="Times New Roman"/>
                <w:b w:val="0"/>
                <w:i w:val="0"/>
                <w:sz w:val="22"/>
                <w:u w:val="none"/>
              </w:rPr>
              <w:t>Model weights, ChromaDB persistence, datasets, and checkpoints</w:t>
            </w:r>
          </w:p>
        </w:tc>
      </w:tr>
      <w:tr>
        <w:tc>
          <w:tcPr>
            <w:tcW w:type="dxa" w:w="3120"/>
          </w:tcPr>
          <w:p>
            <w:pPr>
              <w:spacing w:after="40" w:before="40"/>
            </w:pPr>
            <w:r/>
            <w:r>
              <w:rPr>
                <w:rFonts w:ascii="Times New Roman" w:hAnsi="Times New Roman" w:eastAsia="Times New Roman"/>
                <w:b/>
                <w:i w:val="0"/>
                <w:sz w:val="22"/>
                <w:u w:val="none"/>
              </w:rPr>
              <w:t>Operating System</w:t>
            </w:r>
          </w:p>
        </w:tc>
        <w:tc>
          <w:tcPr>
            <w:tcW w:type="dxa" w:w="3120"/>
          </w:tcPr>
          <w:p>
            <w:pPr>
              <w:spacing w:after="40" w:before="40"/>
            </w:pPr>
            <w:r/>
            <w:r>
              <w:rPr>
                <w:rFonts w:ascii="Times New Roman" w:hAnsi="Times New Roman" w:eastAsia="Times New Roman"/>
                <w:b w:val="0"/>
                <w:i w:val="0"/>
                <w:sz w:val="22"/>
                <w:u w:val="none"/>
              </w:rPr>
              <w:t>Windows 10 / 11</w:t>
            </w:r>
          </w:p>
        </w:tc>
        <w:tc>
          <w:tcPr>
            <w:tcW w:type="dxa" w:w="3120"/>
          </w:tcPr>
          <w:p>
            <w:pPr>
              <w:spacing w:after="40" w:before="40"/>
            </w:pPr>
            <w:r/>
            <w:r>
              <w:rPr>
                <w:rFonts w:ascii="Times New Roman" w:hAnsi="Times New Roman" w:eastAsia="Times New Roman"/>
                <w:b w:val="0"/>
                <w:i w:val="0"/>
                <w:sz w:val="22"/>
                <w:u w:val="none"/>
              </w:rPr>
              <w:t>Required for netsh / PowerShell firewall SOAR host isolation</w:t>
            </w:r>
          </w:p>
        </w:tc>
      </w:tr>
    </w:tbl>
    <w:p>
      <w:pPr>
        <w:spacing w:after="40" w:before="0"/>
      </w:pPr>
    </w:p>
    <w:p>
      <w:pPr>
        <w:spacing w:after="80" w:before="0"/>
      </w:pPr>
      <w:r>
        <w:rPr>
          <w:rFonts w:ascii="Times New Roman" w:hAnsi="Times New Roman" w:eastAsia="Times New Roman"/>
          <w:b/>
          <w:i w:val="0"/>
          <w:sz w:val="24"/>
          <w:u w:val="single"/>
        </w:rPr>
        <w:t>SOFTWARE REQUIRED :-</w:t>
      </w:r>
    </w:p>
    <w:p>
      <w:pPr>
        <w:pStyle w:val="ListNumber"/>
        <w:spacing w:after="80"/>
      </w:pPr>
      <w:r>
        <w:rPr>
          <w:rFonts w:ascii="Times New Roman" w:hAnsi="Times New Roman" w:eastAsia="Times New Roman"/>
          <w:b w:val="0"/>
          <w:i w:val="0"/>
          <w:sz w:val="24"/>
          <w:u w:val="none"/>
        </w:rPr>
        <w:t>Backend API: Python 3.11+, FastAPI, Uvicorn (ASGI), Pydantic.</w:t>
      </w:r>
    </w:p>
    <w:p>
      <w:pPr>
        <w:pStyle w:val="ListNumber"/>
        <w:spacing w:after="80"/>
      </w:pPr>
      <w:r>
        <w:rPr>
          <w:rFonts w:ascii="Times New Roman" w:hAnsi="Times New Roman" w:eastAsia="Times New Roman"/>
          <w:b w:val="0"/>
          <w:i w:val="0"/>
          <w:sz w:val="24"/>
          <w:u w:val="none"/>
        </w:rPr>
        <w:t>LLM Orchestration: LangChain, LangChain-Ollama; Ollama runtime (Llama 3.1 8B, nomic-embed-text).</w:t>
      </w:r>
    </w:p>
    <w:p>
      <w:pPr>
        <w:pStyle w:val="ListNumber"/>
        <w:spacing w:after="80"/>
      </w:pPr>
      <w:r>
        <w:rPr>
          <w:rFonts w:ascii="Times New Roman" w:hAnsi="Times New Roman" w:eastAsia="Times New Roman"/>
          <w:b w:val="0"/>
          <w:i w:val="0"/>
          <w:sz w:val="24"/>
          <w:u w:val="none"/>
        </w:rPr>
        <w:t>Vector Store / RAG: ChromaDB (persistent MITRE ATT&amp;CK embeddings).</w:t>
      </w:r>
    </w:p>
    <w:p>
      <w:pPr>
        <w:pStyle w:val="ListNumber"/>
        <w:spacing w:after="80"/>
      </w:pPr>
      <w:r>
        <w:rPr>
          <w:rFonts w:ascii="Times New Roman" w:hAnsi="Times New Roman" w:eastAsia="Times New Roman"/>
          <w:b w:val="0"/>
          <w:i w:val="0"/>
          <w:sz w:val="24"/>
          <w:u w:val="none"/>
        </w:rPr>
        <w:t>Fine-Tuning: Unsloth / PEFT (QLoRA), PyTorch, Hugging Face Transformers.</w:t>
      </w:r>
    </w:p>
    <w:p>
      <w:pPr>
        <w:pStyle w:val="ListNumber"/>
        <w:spacing w:after="80"/>
      </w:pPr>
      <w:r>
        <w:rPr>
          <w:rFonts w:ascii="Times New Roman" w:hAnsi="Times New Roman" w:eastAsia="Times New Roman"/>
          <w:b w:val="0"/>
          <w:i w:val="0"/>
          <w:sz w:val="24"/>
          <w:u w:val="none"/>
        </w:rPr>
        <w:t>Detection &amp; ML Baselines: scikit-learn (Isolation Forest, One-Class SVM, PCA reconstruction), NumPy.</w:t>
      </w:r>
    </w:p>
    <w:p>
      <w:pPr>
        <w:pStyle w:val="ListNumber"/>
        <w:spacing w:after="80"/>
      </w:pPr>
      <w:r>
        <w:rPr>
          <w:rFonts w:ascii="Times New Roman" w:hAnsi="Times New Roman" w:eastAsia="Times New Roman"/>
          <w:b w:val="0"/>
          <w:i w:val="0"/>
          <w:sz w:val="24"/>
          <w:u w:val="none"/>
        </w:rPr>
        <w:t>Frontend: React 19, Vite, WebSocket client.</w:t>
      </w:r>
    </w:p>
    <w:p>
      <w:pPr>
        <w:pStyle w:val="ListNumber"/>
        <w:spacing w:after="80"/>
      </w:pPr>
      <w:r>
        <w:rPr>
          <w:rFonts w:ascii="Times New Roman" w:hAnsi="Times New Roman" w:eastAsia="Times New Roman"/>
          <w:b w:val="0"/>
          <w:i w:val="0"/>
          <w:sz w:val="24"/>
          <w:u w:val="none"/>
        </w:rPr>
        <w:t>SOAR / Response: Windows Firewall via netsh advfirewall / PowerShell cmdlets (admin-elevated).</w:t>
      </w:r>
    </w:p>
    <w:p>
      <w:pPr>
        <w:pStyle w:val="ListNumber"/>
        <w:spacing w:after="80"/>
      </w:pPr>
      <w:r>
        <w:rPr>
          <w:rFonts w:ascii="Times New Roman" w:hAnsi="Times New Roman" w:eastAsia="Times New Roman"/>
          <w:b w:val="0"/>
          <w:i w:val="0"/>
          <w:sz w:val="24"/>
          <w:u w:val="none"/>
        </w:rPr>
        <w:t>Persistence &amp; Audit: SQLite (incident and audit log).</w:t>
      </w:r>
    </w:p>
    <w:p>
      <w:pPr>
        <w:pStyle w:val="ListNumber"/>
        <w:spacing w:after="80"/>
      </w:pPr>
      <w:r>
        <w:rPr>
          <w:rFonts w:ascii="Times New Roman" w:hAnsi="Times New Roman" w:eastAsia="Times New Roman"/>
          <w:b w:val="0"/>
          <w:i w:val="0"/>
          <w:sz w:val="24"/>
          <w:u w:val="none"/>
        </w:rPr>
        <w:t>Datasets: NSL-KDD (network intrusion benchmark), MITRE ATT&amp;CK Enterprise (STIX 2.x).</w:t>
      </w:r>
    </w:p>
    <w:p>
      <w:r>
        <w:br w:type="page"/>
      </w:r>
    </w:p>
    <w:p>
      <w:pPr>
        <w:spacing w:before="200" w:after="120"/>
      </w:pPr>
      <w:r>
        <w:rPr>
          <w:rFonts w:ascii="Times New Roman" w:hAnsi="Times New Roman" w:eastAsia="Times New Roman"/>
          <w:b/>
          <w:i w:val="0"/>
          <w:sz w:val="28"/>
          <w:u w:val="single"/>
        </w:rPr>
        <w:t>BLOCK DIAGRAM OF PROJECT :-</w:t>
      </w:r>
    </w:p>
    <w:p>
      <w:pPr>
        <w:spacing w:after="160" w:before="0"/>
        <w:jc w:val="center"/>
      </w:pPr>
      <w:r>
        <w:rPr>
          <w:rFonts w:ascii="Times New Roman" w:hAnsi="Times New Roman" w:eastAsia="Times New Roman"/>
          <w:b w:val="0"/>
          <w:i/>
          <w:sz w:val="22"/>
          <w:u w:val="none"/>
        </w:rPr>
        <w:t>Fig. 1: OmniShield — closed-loop autonomous SOC architecture (detection → attribution → response).</w:t>
      </w:r>
    </w:p>
    <w:tbl>
      <w:tblPr>
        <w:tblStyle w:val="TableGrid"/>
        <w:tblW w:type="auto" w:w="0"/>
        <w:jc w:val="center"/>
        <w:tblLook w:firstColumn="1" w:firstRow="1" w:lastColumn="0" w:lastRow="0" w:noHBand="0" w:noVBand="1" w:val="04A0"/>
      </w:tblPr>
      <w:tblGrid>
        <w:gridCol w:w="9360"/>
      </w:tblGrid>
      <w:tr>
        <w:tc>
          <w:tcPr>
            <w:tcW w:type="dxa" w:w="8928"/>
            <w:shd w:val="clear" w:color="auto" w:fill="F1F5F9"/>
          </w:tcPr>
          <w:p>
            <w:pPr>
              <w:spacing w:after="40" w:before="40"/>
              <w:jc w:val="center"/>
            </w:pPr>
            <w:r/>
            <w:r>
              <w:rPr>
                <w:rFonts w:ascii="Times New Roman" w:hAnsi="Times New Roman" w:eastAsia="Times New Roman"/>
                <w:b/>
                <w:i w:val="0"/>
                <w:sz w:val="22"/>
                <w:u w:val="none"/>
              </w:rPr>
              <w:t>NETWORK TELEMETRY STREAM</w:t>
              <w:br/>
              <w:t>(NSL-KDD replay / simulated flows → byte-transfer signal)</w:t>
            </w:r>
          </w:p>
        </w:tc>
      </w:tr>
    </w:tbl>
    <w:p>
      <w:pPr>
        <w:spacing w:after="40" w:before="40"/>
        <w:jc w:val="center"/>
      </w:pPr>
      <w:r>
        <w:rPr>
          <w:rFonts w:ascii="Times New Roman" w:hAnsi="Times New Roman" w:eastAsia="Times New Roman"/>
          <w:b/>
          <w:i w:val="0"/>
          <w:sz w:val="28"/>
          <w:u w:val="none"/>
        </w:rPr>
        <w:t>↓</w:t>
      </w:r>
    </w:p>
    <w:tbl>
      <w:tblPr>
        <w:tblStyle w:val="TableGrid"/>
        <w:tblW w:type="auto" w:w="0"/>
        <w:jc w:val="center"/>
        <w:tblLook w:firstColumn="1" w:firstRow="1" w:lastColumn="0" w:lastRow="0" w:noHBand="0" w:noVBand="1" w:val="04A0"/>
      </w:tblPr>
      <w:tblGrid>
        <w:gridCol w:w="9360"/>
      </w:tblGrid>
      <w:tr>
        <w:tc>
          <w:tcPr>
            <w:tcW w:type="dxa" w:w="8928"/>
            <w:shd w:val="clear" w:color="auto" w:fill="EAF1FB"/>
          </w:tcPr>
          <w:p>
            <w:pPr>
              <w:spacing w:after="40" w:before="40"/>
              <w:jc w:val="center"/>
            </w:pPr>
            <w:r/>
            <w:r>
              <w:rPr>
                <w:rFonts w:ascii="Times New Roman" w:hAnsi="Times New Roman" w:eastAsia="Times New Roman"/>
                <w:b/>
                <w:i w:val="0"/>
                <w:sz w:val="22"/>
                <w:u w:val="none"/>
              </w:rPr>
              <w:t>[1] ROBUST z-SCORE ANOMALY DETECTOR  (baseline-poisoning resistant)</w:t>
              <w:br/>
              <w:t>rolling-window mean / σ  ·  flagged packets excluded from baseline</w:t>
            </w:r>
          </w:p>
        </w:tc>
      </w:tr>
    </w:tbl>
    <w:p>
      <w:pPr>
        <w:spacing w:after="40" w:before="40"/>
        <w:jc w:val="center"/>
      </w:pPr>
      <w:r>
        <w:rPr>
          <w:rFonts w:ascii="Times New Roman" w:hAnsi="Times New Roman" w:eastAsia="Times New Roman"/>
          <w:b/>
          <w:i w:val="0"/>
          <w:sz w:val="28"/>
          <w:u w:val="none"/>
        </w:rPr>
        <w:t>↓</w:t>
      </w:r>
    </w:p>
    <w:tbl>
      <w:tblPr>
        <w:tblStyle w:val="TableGrid"/>
        <w:tblW w:type="auto" w:w="0"/>
        <w:jc w:val="center"/>
        <w:tblLook w:firstColumn="1" w:firstRow="1" w:lastColumn="0" w:lastRow="0" w:noHBand="0" w:noVBand="1" w:val="04A0"/>
      </w:tblPr>
      <w:tblGrid>
        <w:gridCol w:w="9360"/>
      </w:tblGrid>
      <w:tr>
        <w:tc>
          <w:tcPr>
            <w:tcW w:type="dxa" w:w="8928"/>
            <w:shd w:val="clear" w:color="auto" w:fill="EAF1FB"/>
          </w:tcPr>
          <w:p>
            <w:pPr>
              <w:spacing w:after="40" w:before="40"/>
              <w:jc w:val="center"/>
            </w:pPr>
            <w:r/>
            <w:r>
              <w:rPr>
                <w:rFonts w:ascii="Times New Roman" w:hAnsi="Times New Roman" w:eastAsia="Times New Roman"/>
                <w:b/>
                <w:i w:val="0"/>
                <w:sz w:val="22"/>
                <w:u w:val="none"/>
              </w:rPr>
              <w:t>[2] ADVERSARIAL ROBUSTNESS FILTER</w:t>
              <w:br/>
              <w:t>instruction / data separation  ·  prompt-injection sanitization</w:t>
            </w:r>
          </w:p>
        </w:tc>
      </w:tr>
    </w:tbl>
    <w:p>
      <w:pPr>
        <w:spacing w:after="40" w:before="40"/>
        <w:jc w:val="center"/>
      </w:pPr>
      <w:r>
        <w:rPr>
          <w:rFonts w:ascii="Times New Roman" w:hAnsi="Times New Roman" w:eastAsia="Times New Roman"/>
          <w:b/>
          <w:i w:val="0"/>
          <w:sz w:val="28"/>
          <w:u w:val="none"/>
        </w:rPr>
        <w:t>↓</w:t>
      </w:r>
    </w:p>
    <w:p>
      <w:pPr>
        <w:spacing w:after="60" w:before="0"/>
        <w:jc w:val="center"/>
      </w:pPr>
      <w:r>
        <w:rPr>
          <w:rFonts w:ascii="Times New Roman" w:hAnsi="Times New Roman" w:eastAsia="Times New Roman"/>
          <w:b/>
          <w:i w:val="0"/>
          <w:sz w:val="22"/>
          <w:u w:val="none"/>
        </w:rPr>
        <w:t>[3] DUAL ATTRIBUTION PIPELINE  (MITRE ATT&amp;CK)</w:t>
      </w:r>
    </w:p>
    <w:tbl>
      <w:tblPr>
        <w:tblStyle w:val="TableGrid"/>
        <w:tblW w:type="auto" w:w="0"/>
        <w:jc w:val="center"/>
        <w:tblLook w:firstColumn="1" w:firstRow="1" w:lastColumn="0" w:lastRow="0" w:noHBand="0" w:noVBand="1" w:val="04A0"/>
      </w:tblPr>
      <w:tblGrid>
        <w:gridCol w:w="4680"/>
        <w:gridCol w:w="4680"/>
      </w:tblGrid>
      <w:tr>
        <w:tc>
          <w:tcPr>
            <w:tcW w:type="dxa" w:w="4392"/>
            <w:shd w:val="clear" w:color="auto" w:fill="FDF0E6"/>
          </w:tcPr>
          <w:p>
            <w:pPr>
              <w:spacing w:after="40" w:before="40"/>
              <w:jc w:val="center"/>
            </w:pPr>
            <w:r/>
            <w:r>
              <w:rPr>
                <w:rFonts w:ascii="Times New Roman" w:hAnsi="Times New Roman" w:eastAsia="Times New Roman"/>
                <w:b/>
                <w:i w:val="0"/>
                <w:sz w:val="20"/>
                <w:u w:val="none"/>
              </w:rPr>
              <w:t>(3a) RAG</w:t>
              <w:br/>
              <w:t>ChromaDB retrieval → Llama 3.1 8B</w:t>
            </w:r>
          </w:p>
        </w:tc>
        <w:tc>
          <w:tcPr>
            <w:tcW w:type="dxa" w:w="4392"/>
            <w:shd w:val="clear" w:color="auto" w:fill="FDF0E6"/>
          </w:tcPr>
          <w:p>
            <w:pPr>
              <w:spacing w:after="40" w:before="40"/>
              <w:jc w:val="center"/>
            </w:pPr>
            <w:r/>
            <w:r>
              <w:rPr>
                <w:rFonts w:ascii="Times New Roman" w:hAnsi="Times New Roman" w:eastAsia="Times New Roman"/>
                <w:b/>
                <w:i w:val="0"/>
                <w:sz w:val="20"/>
                <w:u w:val="none"/>
              </w:rPr>
              <w:t>(3b) FINE-TUNED LLM (QLoRA)</w:t>
              <w:br/>
              <w:t>PEFT-adapted Llama 3.1 8B</w:t>
            </w:r>
          </w:p>
        </w:tc>
      </w:tr>
    </w:tbl>
    <w:p>
      <w:pPr>
        <w:spacing w:after="40" w:before="40"/>
        <w:jc w:val="center"/>
      </w:pPr>
      <w:r>
        <w:rPr>
          <w:rFonts w:ascii="Times New Roman" w:hAnsi="Times New Roman" w:eastAsia="Times New Roman"/>
          <w:b/>
          <w:i w:val="0"/>
          <w:sz w:val="28"/>
          <w:u w:val="none"/>
        </w:rPr>
        <w:t>↓</w:t>
      </w:r>
    </w:p>
    <w:tbl>
      <w:tblPr>
        <w:tblStyle w:val="TableGrid"/>
        <w:tblW w:type="auto" w:w="0"/>
        <w:jc w:val="center"/>
        <w:tblLook w:firstColumn="1" w:firstRow="1" w:lastColumn="0" w:lastRow="0" w:noHBand="0" w:noVBand="1" w:val="04A0"/>
      </w:tblPr>
      <w:tblGrid>
        <w:gridCol w:w="9360"/>
      </w:tblGrid>
      <w:tr>
        <w:tc>
          <w:tcPr>
            <w:tcW w:type="dxa" w:w="8928"/>
            <w:shd w:val="clear" w:color="auto" w:fill="EAF1FB"/>
          </w:tcPr>
          <w:p>
            <w:pPr>
              <w:spacing w:after="40" w:before="40"/>
              <w:jc w:val="center"/>
            </w:pPr>
            <w:r/>
            <w:r>
              <w:rPr>
                <w:rFonts w:ascii="Times New Roman" w:hAnsi="Times New Roman" w:eastAsia="Times New Roman"/>
                <w:b/>
                <w:i w:val="0"/>
                <w:sz w:val="22"/>
                <w:u w:val="none"/>
              </w:rPr>
              <w:t>[4] FastAPI BACKEND</w:t>
              <w:br/>
              <w:t>REST + WebSocket  ·  X-API-Key  ·  SQLite audit log</w:t>
            </w:r>
          </w:p>
        </w:tc>
      </w:tr>
    </w:tbl>
    <w:p>
      <w:pPr>
        <w:spacing w:after="40" w:before="40"/>
        <w:jc w:val="center"/>
      </w:pPr>
      <w:r>
        <w:rPr>
          <w:rFonts w:ascii="Times New Roman" w:hAnsi="Times New Roman" w:eastAsia="Times New Roman"/>
          <w:b/>
          <w:i w:val="0"/>
          <w:sz w:val="28"/>
          <w:u w:val="none"/>
        </w:rPr>
        <w:t>↓</w:t>
      </w:r>
    </w:p>
    <w:tbl>
      <w:tblPr>
        <w:tblStyle w:val="TableGrid"/>
        <w:tblW w:type="auto" w:w="0"/>
        <w:jc w:val="center"/>
        <w:tblLook w:firstColumn="1" w:firstRow="1" w:lastColumn="0" w:lastRow="0" w:noHBand="0" w:noVBand="1" w:val="04A0"/>
      </w:tblPr>
      <w:tblGrid>
        <w:gridCol w:w="9360"/>
      </w:tblGrid>
      <w:tr>
        <w:tc>
          <w:tcPr>
            <w:tcW w:type="dxa" w:w="8928"/>
            <w:shd w:val="clear" w:color="auto" w:fill="EAF1FB"/>
          </w:tcPr>
          <w:p>
            <w:pPr>
              <w:spacing w:after="40" w:before="40"/>
              <w:jc w:val="center"/>
            </w:pPr>
            <w:r/>
            <w:r>
              <w:rPr>
                <w:rFonts w:ascii="Times New Roman" w:hAnsi="Times New Roman" w:eastAsia="Times New Roman"/>
                <w:b/>
                <w:i w:val="0"/>
                <w:sz w:val="22"/>
                <w:u w:val="none"/>
              </w:rPr>
              <w:t>[5] REACT 19 ANALYST DASHBOARD</w:t>
              <w:br/>
              <w:t>live feed  ·  incident triage  ·  SOAR authorization</w:t>
            </w:r>
          </w:p>
        </w:tc>
      </w:tr>
    </w:tbl>
    <w:p>
      <w:pPr>
        <w:spacing w:after="40" w:before="40"/>
        <w:jc w:val="center"/>
      </w:pPr>
      <w:r>
        <w:rPr>
          <w:rFonts w:ascii="Times New Roman" w:hAnsi="Times New Roman" w:eastAsia="Times New Roman"/>
          <w:b/>
          <w:i w:val="0"/>
          <w:sz w:val="28"/>
          <w:u w:val="none"/>
        </w:rPr>
        <w:t>↓</w:t>
      </w:r>
    </w:p>
    <w:tbl>
      <w:tblPr>
        <w:tblStyle w:val="TableGrid"/>
        <w:tblW w:type="auto" w:w="0"/>
        <w:jc w:val="center"/>
        <w:tblLook w:firstColumn="1" w:firstRow="1" w:lastColumn="0" w:lastRow="0" w:noHBand="0" w:noVBand="1" w:val="04A0"/>
      </w:tblPr>
      <w:tblGrid>
        <w:gridCol w:w="9360"/>
      </w:tblGrid>
      <w:tr>
        <w:tc>
          <w:tcPr>
            <w:tcW w:type="dxa" w:w="8928"/>
            <w:shd w:val="clear" w:color="auto" w:fill="FDE8E8"/>
          </w:tcPr>
          <w:p>
            <w:pPr>
              <w:spacing w:after="40" w:before="40"/>
              <w:jc w:val="center"/>
            </w:pPr>
            <w:r/>
            <w:r>
              <w:rPr>
                <w:rFonts w:ascii="Times New Roman" w:hAnsi="Times New Roman" w:eastAsia="Times New Roman"/>
                <w:b/>
                <w:i w:val="0"/>
                <w:sz w:val="22"/>
                <w:u w:val="none"/>
              </w:rPr>
              <w:t>[6] HUMAN-IN-THE-LOOP SOAR  →  Windows Firewall Host Isolation</w:t>
              <w:br/>
              <w:t>HTTP 428 until analyst-confirmed  ·  every action written to audit log</w:t>
            </w:r>
          </w:p>
        </w:tc>
      </w:tr>
    </w:tbl>
    <w:p>
      <w:pPr>
        <w:spacing w:after="80" w:before="0"/>
      </w:pPr>
    </w:p>
    <w:p>
      <w:pPr>
        <w:spacing w:before="200" w:after="120"/>
      </w:pPr>
      <w:r>
        <w:rPr>
          <w:rFonts w:ascii="Times New Roman" w:hAnsi="Times New Roman" w:eastAsia="Times New Roman"/>
          <w:b/>
          <w:i w:val="0"/>
          <w:sz w:val="28"/>
          <w:u w:val="single"/>
        </w:rPr>
        <w:t>DESCRIPTION OF BLOCK DIAGRAM :-</w:t>
      </w:r>
    </w:p>
    <w:p>
      <w:pPr>
        <w:pStyle w:val="ListBullet"/>
        <w:spacing w:after="80"/>
      </w:pPr>
      <w:r>
        <w:rPr>
          <w:rFonts w:ascii="Times New Roman" w:hAnsi="Times New Roman" w:eastAsia="Times New Roman"/>
          <w:b/>
          <w:i w:val="0"/>
          <w:sz w:val="24"/>
          <w:u w:val="none"/>
        </w:rPr>
        <w:t xml:space="preserve">[1] Robust z-Score Anomaly Detector: </w:t>
      </w:r>
      <w:r>
        <w:rPr>
          <w:rFonts w:ascii="Times New Roman" w:hAnsi="Times New Roman" w:eastAsia="Times New Roman"/>
          <w:b w:val="0"/>
          <w:i w:val="0"/>
          <w:sz w:val="24"/>
          <w:u w:val="none"/>
        </w:rPr>
        <w:t>A streaming univariate detector maintains a bounded rolling window over the byte-transfer signal and flags a packet when its z-score exceeds a configurable threshold. Its defining property is anti-baseline-poisoning: flagged samples are deliberately not folded back into the baseline statistics, preventing a low-and-slow adversary from normalizing malicious behaviour.</w:t>
      </w:r>
    </w:p>
    <w:p>
      <w:pPr>
        <w:pStyle w:val="ListBullet"/>
        <w:spacing w:after="80"/>
      </w:pPr>
      <w:r>
        <w:rPr>
          <w:rFonts w:ascii="Times New Roman" w:hAnsi="Times New Roman" w:eastAsia="Times New Roman"/>
          <w:b/>
          <w:i w:val="0"/>
          <w:sz w:val="24"/>
          <w:u w:val="none"/>
        </w:rPr>
        <w:t xml:space="preserve">[2] Adversarial Robustness Filter: </w:t>
      </w:r>
      <w:r>
        <w:rPr>
          <w:rFonts w:ascii="Times New Roman" w:hAnsi="Times New Roman" w:eastAsia="Times New Roman"/>
          <w:b w:val="0"/>
          <w:i w:val="0"/>
          <w:sz w:val="24"/>
          <w:u w:val="none"/>
        </w:rPr>
        <w:t>All attacker-influenced free text (event descriptions, call/chat transcripts) passes through a prompt-boundary defense enforcing strict instruction/data separation — the model treats ingested text purely as data, never as commands. This is the enforcement point measured by the robustness harness.</w:t>
      </w:r>
    </w:p>
    <w:p>
      <w:pPr>
        <w:pStyle w:val="ListBullet"/>
        <w:spacing w:after="80"/>
      </w:pPr>
      <w:r>
        <w:rPr>
          <w:rFonts w:ascii="Times New Roman" w:hAnsi="Times New Roman" w:eastAsia="Times New Roman"/>
          <w:b/>
          <w:i w:val="0"/>
          <w:sz w:val="24"/>
          <w:u w:val="none"/>
        </w:rPr>
        <w:t xml:space="preserve">[3] Dual Attribution Pipeline: </w:t>
      </w:r>
      <w:r>
        <w:rPr>
          <w:rFonts w:ascii="Times New Roman" w:hAnsi="Times New Roman" w:eastAsia="Times New Roman"/>
          <w:b w:val="0"/>
          <w:i w:val="0"/>
          <w:sz w:val="24"/>
          <w:u w:val="none"/>
        </w:rPr>
        <w:t>The core research instrument. (3a) RAG retrieves the top-k MITRE techniques from ChromaDB and conditions Llama 3.1 8B on this non-parametric context; (3b) a QLoRA/PEFT fine-tuned variant of the same base model encodes the mapping in adapter weights. Both paths emit a schema-constrained JSON verdict (technique ID, confidence, recommended action), enabling a rigorous head-to-head comparison of retrieval versus adaptation.</w:t>
      </w:r>
    </w:p>
    <w:p>
      <w:pPr>
        <w:pStyle w:val="ListBullet"/>
        <w:spacing w:after="80"/>
      </w:pPr>
      <w:r>
        <w:rPr>
          <w:rFonts w:ascii="Times New Roman" w:hAnsi="Times New Roman" w:eastAsia="Times New Roman"/>
          <w:b/>
          <w:i w:val="0"/>
          <w:sz w:val="24"/>
          <w:u w:val="none"/>
        </w:rPr>
        <w:t xml:space="preserve">[4] FastAPI Backend: </w:t>
      </w:r>
      <w:r>
        <w:rPr>
          <w:rFonts w:ascii="Times New Roman" w:hAnsi="Times New Roman" w:eastAsia="Times New Roman"/>
          <w:b w:val="0"/>
          <w:i w:val="0"/>
          <w:sz w:val="24"/>
          <w:u w:val="none"/>
        </w:rPr>
        <w:t>The orchestration and security surface: authenticated REST endpoints (X-API-Key), a WebSocket channel for the live telemetry feed, restricted CORS, and a SQLite incident/audit log. LLM and vector-store initialization are lazy, decoupling the detection and evaluation harnesses from a running inference server.</w:t>
      </w:r>
    </w:p>
    <w:p>
      <w:pPr>
        <w:pStyle w:val="ListBullet"/>
        <w:spacing w:after="80"/>
      </w:pPr>
      <w:r>
        <w:rPr>
          <w:rFonts w:ascii="Times New Roman" w:hAnsi="Times New Roman" w:eastAsia="Times New Roman"/>
          <w:b/>
          <w:i w:val="0"/>
          <w:sz w:val="24"/>
          <w:u w:val="none"/>
        </w:rPr>
        <w:t xml:space="preserve">[5] React 19 Analyst Dashboard: </w:t>
      </w:r>
      <w:r>
        <w:rPr>
          <w:rFonts w:ascii="Times New Roman" w:hAnsi="Times New Roman" w:eastAsia="Times New Roman"/>
          <w:b w:val="0"/>
          <w:i w:val="0"/>
          <w:sz w:val="24"/>
          <w:u w:val="none"/>
        </w:rPr>
        <w:t>A real-time operator interface rendering the live stream, per-incident attribution verdicts, and the SOAR authorization control. It surfaces the AI's recommendation without granting it unilateral authority.</w:t>
      </w:r>
    </w:p>
    <w:p>
      <w:pPr>
        <w:pStyle w:val="ListBullet"/>
        <w:spacing w:after="80"/>
      </w:pPr>
      <w:r>
        <w:rPr>
          <w:rFonts w:ascii="Times New Roman" w:hAnsi="Times New Roman" w:eastAsia="Times New Roman"/>
          <w:b/>
          <w:i w:val="0"/>
          <w:sz w:val="24"/>
          <w:u w:val="none"/>
        </w:rPr>
        <w:t xml:space="preserve">[6] Human-in-the-Loop SOAR: </w:t>
      </w:r>
      <w:r>
        <w:rPr>
          <w:rFonts w:ascii="Times New Roman" w:hAnsi="Times New Roman" w:eastAsia="Times New Roman"/>
          <w:b w:val="0"/>
          <w:i w:val="0"/>
          <w:sz w:val="24"/>
          <w:u w:val="none"/>
        </w:rPr>
        <w:t>The response actuator. The AI detects and recommends; the analyst authorizes; the system acts and audits. Isolation requests return HTTP 428 until an explicit analyst_confirmed=true authorization is supplied, at which point a Windows Firewall rule isolates the offending host and the action is committed to the immutable audit log — enforcing safe autonomy by design.</w:t>
      </w:r>
    </w:p>
    <w:p>
      <w:r>
        <w:br w:type="page"/>
      </w:r>
    </w:p>
    <w:p>
      <w:pPr>
        <w:spacing w:before="200" w:after="120"/>
      </w:pPr>
      <w:r>
        <w:rPr>
          <w:rFonts w:ascii="Times New Roman" w:hAnsi="Times New Roman" w:eastAsia="Times New Roman"/>
          <w:b/>
          <w:i w:val="0"/>
          <w:sz w:val="28"/>
          <w:u w:val="single"/>
        </w:rPr>
        <w:t>STEP-WISE EXECUTION :-</w:t>
      </w:r>
    </w:p>
    <w:tbl>
      <w:tblPr>
        <w:tblStyle w:val="TableGrid"/>
        <w:tblW w:type="auto" w:w="0"/>
        <w:jc w:val="center"/>
        <w:tblLook w:firstColumn="1" w:firstRow="1" w:lastColumn="0" w:lastRow="0" w:noHBand="0" w:noVBand="1" w:val="04A0"/>
      </w:tblPr>
      <w:tblGrid>
        <w:gridCol w:w="2016"/>
        <w:gridCol w:w="7776"/>
      </w:tblGrid>
      <w:tr>
        <w:tc>
          <w:tcPr>
            <w:tcW w:type="dxa" w:w="2016"/>
          </w:tcPr>
          <w:p>
            <w:pPr>
              <w:spacing w:after="40" w:before="40"/>
            </w:pPr>
            <w:r/>
            <w:r>
              <w:rPr>
                <w:rFonts w:ascii="Times New Roman" w:hAnsi="Times New Roman" w:eastAsia="Times New Roman"/>
                <w:b/>
                <w:i w:val="0"/>
                <w:sz w:val="24"/>
                <w:u w:val="none"/>
              </w:rPr>
              <w:t>STEP 1</w:t>
              <w:br/>
              <w:t>(July)</w:t>
            </w:r>
          </w:p>
        </w:tc>
        <w:tc>
          <w:tcPr>
            <w:tcW w:type="dxa" w:w="7776"/>
          </w:tcPr>
          <w:p>
            <w:pPr>
              <w:spacing w:after="40" w:before="40"/>
            </w:pPr>
            <w:r/>
            <w:r>
              <w:rPr>
                <w:rFonts w:ascii="Times New Roman" w:hAnsi="Times New Roman" w:eastAsia="Times New Roman"/>
                <w:b w:val="0"/>
                <w:i w:val="0"/>
                <w:sz w:val="22"/>
                <w:u w:val="none"/>
              </w:rPr>
              <w:t>Formalize the problem statement and threat model; survey LLM-SOC, RAG, PEFT, and prompt-injection literature; finalize system architecture and evaluation methodology; prepare synopsis.</w:t>
            </w:r>
          </w:p>
        </w:tc>
      </w:tr>
      <w:tr>
        <w:tc>
          <w:tcPr>
            <w:tcW w:type="dxa" w:w="2016"/>
          </w:tcPr>
          <w:p>
            <w:pPr>
              <w:spacing w:after="40" w:before="40"/>
            </w:pPr>
            <w:r/>
            <w:r>
              <w:rPr>
                <w:rFonts w:ascii="Times New Roman" w:hAnsi="Times New Roman" w:eastAsia="Times New Roman"/>
                <w:b/>
                <w:i w:val="0"/>
                <w:sz w:val="24"/>
                <w:u w:val="none"/>
              </w:rPr>
              <w:t>STEP 2</w:t>
              <w:br/>
              <w:t>(August)</w:t>
            </w:r>
          </w:p>
        </w:tc>
        <w:tc>
          <w:tcPr>
            <w:tcW w:type="dxa" w:w="7776"/>
          </w:tcPr>
          <w:p>
            <w:pPr>
              <w:spacing w:after="40" w:before="40"/>
            </w:pPr>
            <w:r/>
            <w:r>
              <w:rPr>
                <w:rFonts w:ascii="Times New Roman" w:hAnsi="Times New Roman" w:eastAsia="Times New Roman"/>
                <w:b w:val="0"/>
                <w:i w:val="0"/>
                <w:sz w:val="22"/>
                <w:u w:val="none"/>
              </w:rPr>
              <w:t>Implement the robust rolling z-score detector with anti-poisoning; integrate the NSL-KDD replay/simulation pipeline; stand up the FastAPI backend and WebSocket telemetry stream.</w:t>
            </w:r>
          </w:p>
        </w:tc>
      </w:tr>
      <w:tr>
        <w:tc>
          <w:tcPr>
            <w:tcW w:type="dxa" w:w="2016"/>
          </w:tcPr>
          <w:p>
            <w:pPr>
              <w:spacing w:after="40" w:before="40"/>
            </w:pPr>
            <w:r/>
            <w:r>
              <w:rPr>
                <w:rFonts w:ascii="Times New Roman" w:hAnsi="Times New Roman" w:eastAsia="Times New Roman"/>
                <w:b/>
                <w:i w:val="0"/>
                <w:sz w:val="24"/>
                <w:u w:val="none"/>
              </w:rPr>
              <w:t>STEP 3</w:t>
              <w:br/>
              <w:t>(September)</w:t>
            </w:r>
          </w:p>
        </w:tc>
        <w:tc>
          <w:tcPr>
            <w:tcW w:type="dxa" w:w="7776"/>
          </w:tcPr>
          <w:p>
            <w:pPr>
              <w:spacing w:after="40" w:before="40"/>
            </w:pPr>
            <w:r/>
            <w:r>
              <w:rPr>
                <w:rFonts w:ascii="Times New Roman" w:hAnsi="Times New Roman" w:eastAsia="Times New Roman"/>
                <w:b w:val="0"/>
                <w:i w:val="0"/>
                <w:sz w:val="22"/>
                <w:u w:val="none"/>
              </w:rPr>
              <w:t>Ingest MITRE ATT&amp;CK STIX into ChromaDB; implement the RAG attribution pipeline (Llama 3.1 8B + retriever); validate schema-constrained JSON output; deliver the zero-shot ablation baseline. First Assessment submission.</w:t>
            </w:r>
          </w:p>
        </w:tc>
      </w:tr>
      <w:tr>
        <w:tc>
          <w:tcPr>
            <w:tcW w:type="dxa" w:w="2016"/>
          </w:tcPr>
          <w:p>
            <w:pPr>
              <w:spacing w:after="40" w:before="40"/>
            </w:pPr>
            <w:r/>
            <w:r>
              <w:rPr>
                <w:rFonts w:ascii="Times New Roman" w:hAnsi="Times New Roman" w:eastAsia="Times New Roman"/>
                <w:b/>
                <w:i w:val="0"/>
                <w:sz w:val="24"/>
                <w:u w:val="none"/>
              </w:rPr>
              <w:t>STEP 4</w:t>
              <w:br/>
              <w:t>(October)</w:t>
            </w:r>
          </w:p>
        </w:tc>
        <w:tc>
          <w:tcPr>
            <w:tcW w:type="dxa" w:w="7776"/>
          </w:tcPr>
          <w:p>
            <w:pPr>
              <w:spacing w:after="40" w:before="40"/>
            </w:pPr>
            <w:r/>
            <w:r>
              <w:rPr>
                <w:rFonts w:ascii="Times New Roman" w:hAnsi="Times New Roman" w:eastAsia="Times New Roman"/>
                <w:b w:val="0"/>
                <w:i w:val="0"/>
                <w:sz w:val="22"/>
                <w:u w:val="none"/>
              </w:rPr>
              <w:t>Build the React 19 dashboard; implement the human-in-the-loop SOAR Windows Firewall isolation module with HTTP-428 authorization gating and SQLite audit logging; close the end-to-end loop.</w:t>
            </w:r>
          </w:p>
        </w:tc>
      </w:tr>
      <w:tr>
        <w:tc>
          <w:tcPr>
            <w:tcW w:type="dxa" w:w="2016"/>
          </w:tcPr>
          <w:p>
            <w:pPr>
              <w:spacing w:after="40" w:before="40"/>
            </w:pPr>
            <w:r/>
            <w:r>
              <w:rPr>
                <w:rFonts w:ascii="Times New Roman" w:hAnsi="Times New Roman" w:eastAsia="Times New Roman"/>
                <w:b/>
                <w:i w:val="0"/>
                <w:sz w:val="24"/>
                <w:u w:val="none"/>
              </w:rPr>
              <w:t>STEP 5</w:t>
              <w:br/>
              <w:t>(Nov – Dec)</w:t>
            </w:r>
          </w:p>
        </w:tc>
        <w:tc>
          <w:tcPr>
            <w:tcW w:type="dxa" w:w="7776"/>
          </w:tcPr>
          <w:p>
            <w:pPr>
              <w:spacing w:after="40" w:before="40"/>
            </w:pPr>
            <w:r/>
            <w:r>
              <w:rPr>
                <w:rFonts w:ascii="Times New Roman" w:hAnsi="Times New Roman" w:eastAsia="Times New Roman"/>
                <w:b w:val="0"/>
                <w:i w:val="0"/>
                <w:sz w:val="22"/>
                <w:u w:val="none"/>
              </w:rPr>
              <w:t>Curate the labeled anomaly→MITRE fine-tuning corpus; perform QLoRA/PEFT (Unsloth) adaptation of Llama 3.1 8B; validate convergence and JSON conformance of the fine-tuned attributor.</w:t>
            </w:r>
          </w:p>
        </w:tc>
      </w:tr>
      <w:tr>
        <w:tc>
          <w:tcPr>
            <w:tcW w:type="dxa" w:w="2016"/>
          </w:tcPr>
          <w:p>
            <w:pPr>
              <w:spacing w:after="40" w:before="40"/>
            </w:pPr>
            <w:r/>
            <w:r>
              <w:rPr>
                <w:rFonts w:ascii="Times New Roman" w:hAnsi="Times New Roman" w:eastAsia="Times New Roman"/>
                <w:b/>
                <w:i w:val="0"/>
                <w:sz w:val="24"/>
                <w:u w:val="none"/>
              </w:rPr>
              <w:t>STEP 6</w:t>
              <w:br/>
              <w:t>(January)</w:t>
            </w:r>
          </w:p>
        </w:tc>
        <w:tc>
          <w:tcPr>
            <w:tcW w:type="dxa" w:w="7776"/>
          </w:tcPr>
          <w:p>
            <w:pPr>
              <w:spacing w:after="40" w:before="40"/>
            </w:pPr>
            <w:r/>
            <w:r>
              <w:rPr>
                <w:rFonts w:ascii="Times New Roman" w:hAnsi="Times New Roman" w:eastAsia="Times New Roman"/>
                <w:b w:val="0"/>
                <w:i w:val="0"/>
                <w:sz w:val="22"/>
                <w:u w:val="none"/>
              </w:rPr>
              <w:t>Construct the prompt-injection corpus; execute the robustness harness; measure Attack-Success-Rate before/after hardening; iterate the instruction/data-separation defenses.</w:t>
            </w:r>
          </w:p>
        </w:tc>
      </w:tr>
      <w:tr>
        <w:tc>
          <w:tcPr>
            <w:tcW w:type="dxa" w:w="2016"/>
          </w:tcPr>
          <w:p>
            <w:pPr>
              <w:spacing w:after="40" w:before="40"/>
            </w:pPr>
            <w:r/>
            <w:r>
              <w:rPr>
                <w:rFonts w:ascii="Times New Roman" w:hAnsi="Times New Roman" w:eastAsia="Times New Roman"/>
                <w:b/>
                <w:i w:val="0"/>
                <w:sz w:val="24"/>
                <w:u w:val="none"/>
              </w:rPr>
              <w:t>STEP 7</w:t>
              <w:br/>
              <w:t>(Feb – March)</w:t>
            </w:r>
          </w:p>
        </w:tc>
        <w:tc>
          <w:tcPr>
            <w:tcW w:type="dxa" w:w="7776"/>
          </w:tcPr>
          <w:p>
            <w:pPr>
              <w:spacing w:after="40" w:before="40"/>
            </w:pPr>
            <w:r/>
            <w:r>
              <w:rPr>
                <w:rFonts w:ascii="Times New Roman" w:hAnsi="Times New Roman" w:eastAsia="Times New Roman"/>
                <w:b w:val="0"/>
                <w:i w:val="0"/>
                <w:sz w:val="22"/>
                <w:u w:val="none"/>
              </w:rPr>
              <w:t>Run the full RAG vs. Fine-Tuned vs. zero-shot benchmark (accuracy, hit@k, latency, ASR) and the detection benchmark against multivariate baselines; consolidate quantitative results. Second Assessment submission.</w:t>
            </w:r>
          </w:p>
        </w:tc>
      </w:tr>
      <w:tr>
        <w:tc>
          <w:tcPr>
            <w:tcW w:type="dxa" w:w="2016"/>
          </w:tcPr>
          <w:p>
            <w:pPr>
              <w:spacing w:after="40" w:before="40"/>
            </w:pPr>
            <w:r/>
            <w:r>
              <w:rPr>
                <w:rFonts w:ascii="Times New Roman" w:hAnsi="Times New Roman" w:eastAsia="Times New Roman"/>
                <w:b/>
                <w:i w:val="0"/>
                <w:sz w:val="24"/>
                <w:u w:val="none"/>
              </w:rPr>
              <w:t>STEP 8</w:t>
              <w:br/>
              <w:t>(April)</w:t>
            </w:r>
          </w:p>
        </w:tc>
        <w:tc>
          <w:tcPr>
            <w:tcW w:type="dxa" w:w="7776"/>
          </w:tcPr>
          <w:p>
            <w:pPr>
              <w:spacing w:after="40" w:before="40"/>
            </w:pPr>
            <w:r/>
            <w:r>
              <w:rPr>
                <w:rFonts w:ascii="Times New Roman" w:hAnsi="Times New Roman" w:eastAsia="Times New Roman"/>
                <w:b w:val="0"/>
                <w:i w:val="0"/>
                <w:sz w:val="22"/>
                <w:u w:val="none"/>
              </w:rPr>
              <w:t>Statistical and error analysis of all results; draft thesis chapters; prepare reproducibility artifacts and result files; check and print the report.</w:t>
            </w:r>
          </w:p>
        </w:tc>
      </w:tr>
      <w:tr>
        <w:tc>
          <w:tcPr>
            <w:tcW w:type="dxa" w:w="2016"/>
          </w:tcPr>
          <w:p>
            <w:pPr>
              <w:spacing w:after="40" w:before="40"/>
            </w:pPr>
            <w:r/>
            <w:r>
              <w:rPr>
                <w:rFonts w:ascii="Times New Roman" w:hAnsi="Times New Roman" w:eastAsia="Times New Roman"/>
                <w:b/>
                <w:i w:val="0"/>
                <w:sz w:val="24"/>
                <w:u w:val="none"/>
              </w:rPr>
              <w:t>STEP 9</w:t>
              <w:br/>
              <w:t>(May)</w:t>
            </w:r>
          </w:p>
        </w:tc>
        <w:tc>
          <w:tcPr>
            <w:tcW w:type="dxa" w:w="7776"/>
          </w:tcPr>
          <w:p>
            <w:pPr>
              <w:spacing w:after="40" w:before="40"/>
            </w:pPr>
            <w:r/>
            <w:r>
              <w:rPr>
                <w:rFonts w:ascii="Times New Roman" w:hAnsi="Times New Roman" w:eastAsia="Times New Roman"/>
                <w:b w:val="0"/>
                <w:i w:val="0"/>
                <w:sz w:val="22"/>
                <w:u w:val="none"/>
              </w:rPr>
              <w:t>Final integration testing; thesis revision; project demonstration and viva; submission of the final project report.</w:t>
            </w:r>
          </w:p>
        </w:tc>
      </w:tr>
    </w:tbl>
    <w:p>
      <w:pPr>
        <w:spacing w:before="200" w:after="120"/>
      </w:pPr>
      <w:r>
        <w:rPr>
          <w:rFonts w:ascii="Times New Roman" w:hAnsi="Times New Roman" w:eastAsia="Times New Roman"/>
          <w:b/>
          <w:i w:val="0"/>
          <w:sz w:val="28"/>
          <w:u w:val="single"/>
        </w:rPr>
        <w:t>REFERENCES :-</w:t>
      </w:r>
    </w:p>
    <w:p>
      <w:pPr>
        <w:pStyle w:val="ListNumber"/>
        <w:spacing w:after="80"/>
      </w:pPr>
      <w:r>
        <w:rPr>
          <w:rFonts w:ascii="Times New Roman" w:hAnsi="Times New Roman" w:eastAsia="Times New Roman"/>
          <w:b w:val="0"/>
          <w:i w:val="0"/>
          <w:sz w:val="24"/>
          <w:u w:val="none"/>
        </w:rPr>
        <w:t>The MITRE Corporation, “MITRE ATT&amp;CK®: Design and Philosophy,” Technical Report MP180360R1, MITRE, 2020. (Enterprise ATT&amp;CK knowledge base distributed in STIX 2.x via the ATT&amp;CK CTI repository.)</w:t>
      </w:r>
    </w:p>
    <w:p>
      <w:pPr>
        <w:pStyle w:val="ListNumber"/>
        <w:spacing w:after="80"/>
      </w:pPr>
      <w:r>
        <w:rPr>
          <w:rFonts w:ascii="Times New Roman" w:hAnsi="Times New Roman" w:eastAsia="Times New Roman"/>
          <w:b w:val="0"/>
          <w:i w:val="0"/>
          <w:sz w:val="24"/>
          <w:u w:val="none"/>
        </w:rPr>
        <w:t>M. Tavallaee, E. Bagheri, W. Lu, and A. A. Ghorbani, “A Detailed Analysis of the KDD CUP 99 Data Set,” in Proc. IEEE Symposium on Computational Intelligence for Security and Defense Applications (CISDA), 2009, pp. 1–6. (Origin of the NSL-KDD benchmark dataset.)</w:t>
      </w:r>
    </w:p>
    <w:p>
      <w:pPr>
        <w:pStyle w:val="ListNumber"/>
        <w:spacing w:after="80"/>
      </w:pPr>
      <w:r>
        <w:rPr>
          <w:rFonts w:ascii="Times New Roman" w:hAnsi="Times New Roman" w:eastAsia="Times New Roman"/>
          <w:b w:val="0"/>
          <w:i w:val="0"/>
          <w:sz w:val="24"/>
          <w:u w:val="none"/>
        </w:rPr>
        <w:t>P. Lewis, E. Perez, A. Piktus, F. Petroni, V. Karpukhin, N. Goyal, H. Küttler, M. Lewis, W. Yih, T. Rocktäschel, S. Riedel, and D. Kiela, “Retrieval-Augmented Generation for Knowledge-Intensive NLP Tasks,” in Advances in Neural Information Processing Systems (NeurIPS), vol. 33, 2020, pp. 9459–9474.</w:t>
      </w:r>
    </w:p>
    <w:p>
      <w:pPr>
        <w:pStyle w:val="ListNumber"/>
        <w:spacing w:after="80"/>
      </w:pPr>
      <w:r>
        <w:rPr>
          <w:rFonts w:ascii="Times New Roman" w:hAnsi="Times New Roman" w:eastAsia="Times New Roman"/>
          <w:b w:val="0"/>
          <w:i w:val="0"/>
          <w:sz w:val="24"/>
          <w:u w:val="none"/>
        </w:rPr>
        <w:t>E. J. Hu, Y. Shen, P. Wallis, Z. Allen-Zhu, Y. Li, S. Wang, L. Wang, and W. Chen, “LoRA: Low-Rank Adaptation of Large Language Models,” in Proc. International Conference on Learning Representations (ICLR), 2022. arXiv:2106.09685.</w:t>
      </w:r>
    </w:p>
    <w:p>
      <w:pPr>
        <w:pStyle w:val="ListNumber"/>
        <w:spacing w:after="80"/>
      </w:pPr>
      <w:r>
        <w:rPr>
          <w:rFonts w:ascii="Times New Roman" w:hAnsi="Times New Roman" w:eastAsia="Times New Roman"/>
          <w:b w:val="0"/>
          <w:i w:val="0"/>
          <w:sz w:val="24"/>
          <w:u w:val="none"/>
        </w:rPr>
        <w:t>T. Dettmers, A. Pagnoni, A. Holtzman, and L. Zettlemoyer, “QLoRA: Efficient Finetuning of Quantized LLMs,” in Advances in Neural Information Processing Systems (NeurIPS), 2023. arXiv:2305.14314.</w:t>
      </w:r>
    </w:p>
    <w:p>
      <w:pPr>
        <w:pStyle w:val="ListNumber"/>
        <w:spacing w:after="80"/>
      </w:pPr>
      <w:r>
        <w:rPr>
          <w:rFonts w:ascii="Times New Roman" w:hAnsi="Times New Roman" w:eastAsia="Times New Roman"/>
          <w:b w:val="0"/>
          <w:i w:val="0"/>
          <w:sz w:val="24"/>
          <w:u w:val="none"/>
        </w:rPr>
        <w:t>K. Greshake, S. Abdelnabi, S. Mishra, C. Endres, T. Holz, and M. Fritz, “Not What You've Signed Up For: Compromising Real-World LLM-Integrated Applications with Indirect Prompt Injection,” in Proc. 16th ACM Workshop on Artificial Intelligence and Security (AISec), 2023, pp. 79–90.</w:t>
      </w:r>
    </w:p>
    <w:p>
      <w:pPr>
        <w:pStyle w:val="ListNumber"/>
        <w:spacing w:after="80"/>
      </w:pPr>
      <w:r>
        <w:rPr>
          <w:rFonts w:ascii="Times New Roman" w:hAnsi="Times New Roman" w:eastAsia="Times New Roman"/>
          <w:b w:val="0"/>
          <w:i w:val="0"/>
          <w:sz w:val="24"/>
          <w:u w:val="none"/>
        </w:rPr>
        <w:t>A. Grattafiori et al., “The Llama 3 Herd of Models,” Meta AI, 2024. arXiv:2407.21783.</w:t>
      </w:r>
    </w:p>
    <w:sectPr w:rsidR="00FC693F" w:rsidRPr="0006063C" w:rsidSect="00034616">
      <w:head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22"/>
      </w:rPr>
      <w:t>Academic Year: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