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97C7" w14:textId="77777777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proofErr w:type="spellStart"/>
      <w:r w:rsidRPr="009217F7">
        <w:rPr>
          <w:rFonts w:ascii="Times New Roman" w:hAnsi="Times New Roman" w:cs="Times New Roman"/>
          <w:b/>
          <w:bCs/>
        </w:rPr>
        <w:t>ApexBridge</w:t>
      </w:r>
      <w:proofErr w:type="spellEnd"/>
      <w:r w:rsidRPr="009217F7">
        <w:rPr>
          <w:rFonts w:ascii="Times New Roman" w:hAnsi="Times New Roman" w:cs="Times New Roman"/>
          <w:b/>
          <w:bCs/>
        </w:rPr>
        <w:t xml:space="preserve"> Technologies</w:t>
      </w:r>
    </w:p>
    <w:p w14:paraId="5E6C7F6A" w14:textId="77777777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t>TPRM Governance &amp; Operating Model</w:t>
      </w:r>
    </w:p>
    <w:p w14:paraId="0360E259" w14:textId="4FBAAE8D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  <w:b/>
          <w:bCs/>
        </w:rPr>
        <w:t>Document Status:</w:t>
      </w:r>
      <w:r w:rsidRPr="009217F7">
        <w:rPr>
          <w:rFonts w:ascii="Times New Roman" w:hAnsi="Times New Roman" w:cs="Times New Roman"/>
        </w:rPr>
        <w:t xml:space="preserve"> Draft </w:t>
      </w:r>
      <w:proofErr w:type="gramStart"/>
      <w:r w:rsidRPr="009217F7">
        <w:rPr>
          <w:rFonts w:ascii="Times New Roman" w:hAnsi="Times New Roman" w:cs="Times New Roman"/>
        </w:rPr>
        <w:t>v0.1  Simulated</w:t>
      </w:r>
      <w:proofErr w:type="gramEnd"/>
      <w:r w:rsidRPr="009217F7">
        <w:rPr>
          <w:rFonts w:ascii="Times New Roman" w:hAnsi="Times New Roman" w:cs="Times New Roman"/>
        </w:rPr>
        <w:t xml:space="preserve"> Project Artifact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Owner:</w:t>
      </w:r>
      <w:r w:rsidRPr="009217F7">
        <w:rPr>
          <w:rFonts w:ascii="Times New Roman" w:hAnsi="Times New Roman" w:cs="Times New Roman"/>
        </w:rPr>
        <w:t xml:space="preserve"> GRC Function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Applies To:</w:t>
      </w:r>
      <w:r w:rsidRPr="009217F7">
        <w:rPr>
          <w:rFonts w:ascii="Times New Roman" w:hAnsi="Times New Roman" w:cs="Times New Roman"/>
        </w:rPr>
        <w:t xml:space="preserve"> All third parties engaged by </w:t>
      </w:r>
      <w:proofErr w:type="spellStart"/>
      <w:r w:rsidRPr="009217F7">
        <w:rPr>
          <w:rFonts w:ascii="Times New Roman" w:hAnsi="Times New Roman" w:cs="Times New Roman"/>
        </w:rPr>
        <w:t>ApexBridge</w:t>
      </w:r>
      <w:proofErr w:type="spellEnd"/>
      <w:r w:rsidRPr="009217F7">
        <w:rPr>
          <w:rFonts w:ascii="Times New Roman" w:hAnsi="Times New Roman" w:cs="Times New Roman"/>
        </w:rPr>
        <w:t xml:space="preserve"> Technologies</w:t>
      </w:r>
    </w:p>
    <w:p w14:paraId="36D825D5" w14:textId="2EC82831" w:rsidR="009217F7" w:rsidRPr="009217F7" w:rsidRDefault="009217F7" w:rsidP="009217F7">
      <w:pPr>
        <w:rPr>
          <w:rFonts w:ascii="Times New Roman" w:hAnsi="Times New Roman" w:cs="Times New Roman"/>
        </w:rPr>
      </w:pPr>
    </w:p>
    <w:p w14:paraId="1D302A62" w14:textId="77777777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t>1. Purpose</w:t>
      </w:r>
    </w:p>
    <w:p w14:paraId="5BD6A873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This document establishes how </w:t>
      </w:r>
      <w:proofErr w:type="spellStart"/>
      <w:r w:rsidRPr="009217F7">
        <w:rPr>
          <w:rFonts w:ascii="Times New Roman" w:hAnsi="Times New Roman" w:cs="Times New Roman"/>
        </w:rPr>
        <w:t>ApexBridge</w:t>
      </w:r>
      <w:proofErr w:type="spellEnd"/>
      <w:r w:rsidRPr="009217F7">
        <w:rPr>
          <w:rFonts w:ascii="Times New Roman" w:hAnsi="Times New Roman" w:cs="Times New Roman"/>
        </w:rPr>
        <w:t xml:space="preserve"> Technologies identifies, evaluates, approves, and monitors risk arising from its use of third parties. It also defines accountability across the functions involved in the Third-Party Risk Management (TPRM) lifecycle.</w:t>
      </w:r>
    </w:p>
    <w:p w14:paraId="55091C1E" w14:textId="449BF9BA" w:rsidR="009217F7" w:rsidRPr="009217F7" w:rsidRDefault="009217F7" w:rsidP="009217F7">
      <w:pPr>
        <w:rPr>
          <w:rFonts w:ascii="Times New Roman" w:hAnsi="Times New Roman" w:cs="Times New Roman"/>
        </w:rPr>
      </w:pPr>
    </w:p>
    <w:p w14:paraId="59888AA8" w14:textId="77777777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t>2. Scope</w:t>
      </w:r>
    </w:p>
    <w:p w14:paraId="663C2E1D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This governance model applies to all vendors, suppliers, and contractors engaged by any </w:t>
      </w:r>
      <w:proofErr w:type="spellStart"/>
      <w:r w:rsidRPr="009217F7">
        <w:rPr>
          <w:rFonts w:ascii="Times New Roman" w:hAnsi="Times New Roman" w:cs="Times New Roman"/>
        </w:rPr>
        <w:t>ApexBridge</w:t>
      </w:r>
      <w:proofErr w:type="spellEnd"/>
      <w:r w:rsidRPr="009217F7">
        <w:rPr>
          <w:rFonts w:ascii="Times New Roman" w:hAnsi="Times New Roman" w:cs="Times New Roman"/>
        </w:rPr>
        <w:t xml:space="preserve"> Technologies business unit.</w:t>
      </w:r>
    </w:p>
    <w:p w14:paraId="2DC1FBA2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This includes SaaS subscriptions procured outside Central Procurement, including departmental purchases made using corporate credit cards.</w:t>
      </w:r>
    </w:p>
    <w:p w14:paraId="05DF3B50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  <w:b/>
          <w:bCs/>
        </w:rPr>
        <w:t>Out of scope:</w:t>
      </w:r>
    </w:p>
    <w:p w14:paraId="5FF32E26" w14:textId="77777777" w:rsidR="009217F7" w:rsidRPr="009217F7" w:rsidRDefault="009217F7" w:rsidP="009217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Internal employees</w:t>
      </w:r>
    </w:p>
    <w:p w14:paraId="0F3E4997" w14:textId="77777777" w:rsidR="009217F7" w:rsidRPr="009217F7" w:rsidRDefault="009217F7" w:rsidP="009217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Wholly-owned subsidiaries</w:t>
      </w:r>
    </w:p>
    <w:p w14:paraId="6399DAE7" w14:textId="0645F385" w:rsidR="009217F7" w:rsidRPr="009217F7" w:rsidRDefault="009217F7" w:rsidP="009217F7">
      <w:pPr>
        <w:rPr>
          <w:rFonts w:ascii="Times New Roman" w:hAnsi="Times New Roman" w:cs="Times New Roman"/>
        </w:rPr>
      </w:pPr>
    </w:p>
    <w:p w14:paraId="206FC0D6" w14:textId="77777777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t>3. Objectives</w:t>
      </w:r>
    </w:p>
    <w:p w14:paraId="7A45A150" w14:textId="77777777" w:rsidR="009217F7" w:rsidRPr="009217F7" w:rsidRDefault="009217F7" w:rsidP="009217F7">
      <w:pPr>
        <w:rPr>
          <w:rFonts w:ascii="Times New Roman" w:hAnsi="Times New Roman" w:cs="Times New Roman"/>
        </w:rPr>
      </w:pPr>
      <w:proofErr w:type="spellStart"/>
      <w:r w:rsidRPr="009217F7">
        <w:rPr>
          <w:rFonts w:ascii="Times New Roman" w:hAnsi="Times New Roman" w:cs="Times New Roman"/>
        </w:rPr>
        <w:t>ApexBridge</w:t>
      </w:r>
      <w:proofErr w:type="spellEnd"/>
      <w:r w:rsidRPr="009217F7">
        <w:rPr>
          <w:rFonts w:ascii="Times New Roman" w:hAnsi="Times New Roman" w:cs="Times New Roman"/>
        </w:rPr>
        <w:t xml:space="preserve"> Technologies' TPRM program is designed to:</w:t>
      </w:r>
    </w:p>
    <w:p w14:paraId="5C4A7684" w14:textId="77777777" w:rsidR="009217F7" w:rsidRPr="009217F7" w:rsidRDefault="009217F7" w:rsidP="009217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Ensure third-party risk is identified </w:t>
      </w:r>
      <w:r w:rsidRPr="009217F7">
        <w:rPr>
          <w:rFonts w:ascii="Times New Roman" w:hAnsi="Times New Roman" w:cs="Times New Roman"/>
          <w:b/>
          <w:bCs/>
        </w:rPr>
        <w:t>before commercial commitment</w:t>
      </w:r>
      <w:r w:rsidRPr="009217F7">
        <w:rPr>
          <w:rFonts w:ascii="Times New Roman" w:hAnsi="Times New Roman" w:cs="Times New Roman"/>
        </w:rPr>
        <w:t>, rather than after a vendor has been engaged.</w:t>
      </w:r>
    </w:p>
    <w:p w14:paraId="2FB19AEB" w14:textId="77777777" w:rsidR="009217F7" w:rsidRPr="009217F7" w:rsidRDefault="009217F7" w:rsidP="009217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Apply due diligence and assessment depth </w:t>
      </w:r>
      <w:r w:rsidRPr="009217F7">
        <w:rPr>
          <w:rFonts w:ascii="Times New Roman" w:hAnsi="Times New Roman" w:cs="Times New Roman"/>
          <w:b/>
          <w:bCs/>
        </w:rPr>
        <w:t>proportional to vendor risk</w:t>
      </w:r>
      <w:r w:rsidRPr="009217F7">
        <w:rPr>
          <w:rFonts w:ascii="Times New Roman" w:hAnsi="Times New Roman" w:cs="Times New Roman"/>
        </w:rPr>
        <w:t>, rather than applying the same level of scrutiny to every third party.</w:t>
      </w:r>
    </w:p>
    <w:p w14:paraId="4B90F19A" w14:textId="77777777" w:rsidR="009217F7" w:rsidRPr="009217F7" w:rsidRDefault="009217F7" w:rsidP="009217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Establish clear, non-overlapping accountability across GRC, Information Security, Procurement, Legal, Privacy, IT, and Business Owners.</w:t>
      </w:r>
    </w:p>
    <w:p w14:paraId="12917EAF" w14:textId="77777777" w:rsidR="009217F7" w:rsidRPr="009217F7" w:rsidRDefault="009217F7" w:rsidP="009217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Maintain visibility into vendor risk </w:t>
      </w:r>
      <w:r w:rsidRPr="009217F7">
        <w:rPr>
          <w:rFonts w:ascii="Times New Roman" w:hAnsi="Times New Roman" w:cs="Times New Roman"/>
          <w:b/>
          <w:bCs/>
        </w:rPr>
        <w:t>throughout the relationship lifecycle</w:t>
      </w:r>
      <w:r w:rsidRPr="009217F7">
        <w:rPr>
          <w:rFonts w:ascii="Times New Roman" w:hAnsi="Times New Roman" w:cs="Times New Roman"/>
        </w:rPr>
        <w:t>, rather than only during onboarding.</w:t>
      </w:r>
    </w:p>
    <w:p w14:paraId="72B5BBF7" w14:textId="77777777" w:rsidR="009217F7" w:rsidRPr="009217F7" w:rsidRDefault="009217F7" w:rsidP="009217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Ensure risk decisions and exceptions are documented, attributable, and approved by a named decision-maker.</w:t>
      </w:r>
    </w:p>
    <w:p w14:paraId="40F8DC01" w14:textId="7195435B" w:rsidR="009217F7" w:rsidRPr="009217F7" w:rsidRDefault="009217F7" w:rsidP="009217F7">
      <w:pPr>
        <w:rPr>
          <w:rFonts w:ascii="Times New Roman" w:hAnsi="Times New Roman" w:cs="Times New Roman"/>
        </w:rPr>
      </w:pPr>
    </w:p>
    <w:p w14:paraId="5830D413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261CF426" w14:textId="53615619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lastRenderedPageBreak/>
        <w:t>4.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7533"/>
      </w:tblGrid>
      <w:tr w:rsidR="009217F7" w:rsidRPr="009217F7" w14:paraId="29BBA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F0ADB" w14:textId="77777777" w:rsidR="009217F7" w:rsidRPr="009217F7" w:rsidRDefault="009217F7" w:rsidP="009217F7">
            <w:pPr>
              <w:rPr>
                <w:rFonts w:ascii="Times New Roman" w:hAnsi="Times New Roman" w:cs="Times New Roman"/>
                <w:b/>
                <w:bCs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E03E1E" w14:textId="77777777" w:rsidR="009217F7" w:rsidRPr="009217F7" w:rsidRDefault="009217F7" w:rsidP="009217F7">
            <w:pPr>
              <w:rPr>
                <w:rFonts w:ascii="Times New Roman" w:hAnsi="Times New Roman" w:cs="Times New Roman"/>
                <w:b/>
                <w:bCs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9217F7" w:rsidRPr="009217F7" w14:paraId="022BE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3E44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1D48853B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Sets third-party risk appetite; approves material exceptions; receives critical-vendor risk reporting.</w:t>
            </w:r>
          </w:p>
        </w:tc>
      </w:tr>
      <w:tr w:rsidR="009217F7" w:rsidRPr="009217F7" w14:paraId="30BB4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3385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GRC Function</w:t>
            </w:r>
          </w:p>
        </w:tc>
        <w:tc>
          <w:tcPr>
            <w:tcW w:w="0" w:type="auto"/>
            <w:vAlign w:val="center"/>
            <w:hideMark/>
          </w:tcPr>
          <w:p w14:paraId="4E1257B3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Owns the TPRM methodology, tiering criteria, and lifecycle; coordinates due diligence; issues risk recommendations; tracks exceptions and reassessment schedules.</w:t>
            </w:r>
          </w:p>
        </w:tc>
      </w:tr>
      <w:tr w:rsidR="009217F7" w:rsidRPr="009217F7" w14:paraId="5C441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DB1D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Information Security</w:t>
            </w:r>
          </w:p>
        </w:tc>
        <w:tc>
          <w:tcPr>
            <w:tcW w:w="0" w:type="auto"/>
            <w:vAlign w:val="center"/>
            <w:hideMark/>
          </w:tcPr>
          <w:p w14:paraId="7EC4BAED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Performs technical due diligence reviews; advises on risk severity and required security controls.</w:t>
            </w:r>
          </w:p>
        </w:tc>
      </w:tr>
      <w:tr w:rsidR="009217F7" w:rsidRPr="009217F7" w14:paraId="6ABB7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AEA7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4D951109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Runs commercial sourcing and operates intake screening; does not execute contracts above the light-touch tier without required GRC clearance.</w:t>
            </w:r>
          </w:p>
        </w:tc>
      </w:tr>
      <w:tr w:rsidR="009217F7" w:rsidRPr="009217F7" w14:paraId="507C9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00ED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080F5D57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Negotiates contract terms and ensures risk-based clauses, including security requirements, DPA provisions, audit rights, and termination rights, are incorporated.</w:t>
            </w:r>
          </w:p>
        </w:tc>
      </w:tr>
      <w:tr w:rsidR="009217F7" w:rsidRPr="009217F7" w14:paraId="64A4D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2F2F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Privacy / Data Protection</w:t>
            </w:r>
          </w:p>
        </w:tc>
        <w:tc>
          <w:tcPr>
            <w:tcW w:w="0" w:type="auto"/>
            <w:vAlign w:val="center"/>
            <w:hideMark/>
          </w:tcPr>
          <w:p w14:paraId="124B0FAB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Reviews vendors processing personal data; advises on Data Processing Agreements (DPAs) and cross-border data transfers.</w:t>
            </w:r>
          </w:p>
        </w:tc>
      </w:tr>
      <w:tr w:rsidR="009217F7" w:rsidRPr="009217F7" w14:paraId="50B28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14F1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26B03373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Initiates the vendor request; defines the intended scope and business purpose; remains accountable for use within the approved scope; performs first-line monitoring.</w:t>
            </w:r>
          </w:p>
        </w:tc>
      </w:tr>
      <w:tr w:rsidR="009217F7" w:rsidRPr="009217F7" w14:paraId="5E00D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29FA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IT / Engineering</w:t>
            </w:r>
          </w:p>
        </w:tc>
        <w:tc>
          <w:tcPr>
            <w:tcW w:w="0" w:type="auto"/>
            <w:vAlign w:val="center"/>
            <w:hideMark/>
          </w:tcPr>
          <w:p w14:paraId="0BD74F10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Provisions and de-provisions access strictly according to the approved vendor scope.</w:t>
            </w:r>
          </w:p>
        </w:tc>
      </w:tr>
      <w:tr w:rsidR="009217F7" w:rsidRPr="009217F7" w14:paraId="10D3E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6C3D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Third Party / Vendor</w:t>
            </w:r>
          </w:p>
        </w:tc>
        <w:tc>
          <w:tcPr>
            <w:tcW w:w="0" w:type="auto"/>
            <w:vAlign w:val="center"/>
            <w:hideMark/>
          </w:tcPr>
          <w:p w14:paraId="1433586C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Provides due diligence evidence; meets contractual requirements; and cooperates with monitoring and reassessment activities.</w:t>
            </w:r>
          </w:p>
        </w:tc>
      </w:tr>
    </w:tbl>
    <w:p w14:paraId="2D8B067C" w14:textId="0CA6AF06" w:rsidR="009217F7" w:rsidRPr="009217F7" w:rsidRDefault="009217F7" w:rsidP="009217F7">
      <w:pPr>
        <w:rPr>
          <w:rFonts w:ascii="Times New Roman" w:hAnsi="Times New Roman" w:cs="Times New Roman"/>
        </w:rPr>
      </w:pPr>
    </w:p>
    <w:p w14:paraId="49848FEC" w14:textId="77777777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t>5. Governance Structure</w:t>
      </w:r>
    </w:p>
    <w:p w14:paraId="7D923882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Day-to-day risk decisions for </w:t>
      </w:r>
      <w:r w:rsidRPr="009217F7">
        <w:rPr>
          <w:rFonts w:ascii="Times New Roman" w:hAnsi="Times New Roman" w:cs="Times New Roman"/>
          <w:b/>
          <w:bCs/>
        </w:rPr>
        <w:t>Low- and Medium-tier vendors</w:t>
      </w:r>
      <w:r w:rsidRPr="009217F7">
        <w:rPr>
          <w:rFonts w:ascii="Times New Roman" w:hAnsi="Times New Roman" w:cs="Times New Roman"/>
        </w:rPr>
        <w:t xml:space="preserve"> are made by the GRC Function under delegated authority.</w:t>
      </w:r>
    </w:p>
    <w:p w14:paraId="6D8EC304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  <w:b/>
          <w:bCs/>
        </w:rPr>
        <w:t>High-tier vendor approvals</w:t>
      </w:r>
      <w:r w:rsidRPr="009217F7">
        <w:rPr>
          <w:rFonts w:ascii="Times New Roman" w:hAnsi="Times New Roman" w:cs="Times New Roman"/>
        </w:rPr>
        <w:t xml:space="preserve"> and exceptions that leave a material, uncompensated risk gap are escalated to Executive Management, represented by the CISO and/or Head of GRC, for decision.</w:t>
      </w:r>
    </w:p>
    <w:p w14:paraId="18DC70F5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The GRC Function maintains a running log of all vendor approvals and exceptions. This log is reviewed quarterly with Executive Management to provide visibility into outstanding risks, exceptions, and risk decisions.</w:t>
      </w:r>
    </w:p>
    <w:p w14:paraId="5BE62E42" w14:textId="642F7BA1" w:rsidR="009217F7" w:rsidRPr="009217F7" w:rsidRDefault="009217F7" w:rsidP="009217F7">
      <w:pPr>
        <w:rPr>
          <w:rFonts w:ascii="Times New Roman" w:hAnsi="Times New Roman" w:cs="Times New Roman"/>
        </w:rPr>
      </w:pPr>
    </w:p>
    <w:p w14:paraId="3A79D053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3E4CC159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28899037" w14:textId="6E39E680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lastRenderedPageBreak/>
        <w:t>6. Escalation Principles</w:t>
      </w:r>
    </w:p>
    <w:p w14:paraId="406E5995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The following escalation principles apply throughout the TPRM lifecycle:</w:t>
      </w:r>
    </w:p>
    <w:p w14:paraId="646F8D88" w14:textId="77777777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t>6.1 Active Data Risk</w:t>
      </w:r>
    </w:p>
    <w:p w14:paraId="26958388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Any finding indicating active, unmitigated risk to customer or employee data must be escalated to GRC leadership within </w:t>
      </w:r>
      <w:r w:rsidRPr="009217F7">
        <w:rPr>
          <w:rFonts w:ascii="Times New Roman" w:hAnsi="Times New Roman" w:cs="Times New Roman"/>
          <w:b/>
          <w:bCs/>
        </w:rPr>
        <w:t>one business day</w:t>
      </w:r>
      <w:r w:rsidRPr="009217F7">
        <w:rPr>
          <w:rFonts w:ascii="Times New Roman" w:hAnsi="Times New Roman" w:cs="Times New Roman"/>
        </w:rPr>
        <w:t xml:space="preserve"> of discovery.</w:t>
      </w:r>
    </w:p>
    <w:p w14:paraId="50E3CC2D" w14:textId="77777777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t>6.2 Risk-Tier or Control Disagreements</w:t>
      </w:r>
    </w:p>
    <w:p w14:paraId="4E1CB709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Disagreements between a Business Owner and GRC regarding a vendor's risk tier or required controls are escalated to the </w:t>
      </w:r>
      <w:r w:rsidRPr="009217F7">
        <w:rPr>
          <w:rFonts w:ascii="Times New Roman" w:hAnsi="Times New Roman" w:cs="Times New Roman"/>
          <w:b/>
          <w:bCs/>
        </w:rPr>
        <w:t>Head of GRC</w:t>
      </w:r>
      <w:r w:rsidRPr="009217F7">
        <w:rPr>
          <w:rFonts w:ascii="Times New Roman" w:hAnsi="Times New Roman" w:cs="Times New Roman"/>
        </w:rPr>
        <w:t xml:space="preserve"> for resolution.</w:t>
      </w:r>
    </w:p>
    <w:p w14:paraId="3EA6A232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If the disagreement remains unresolved, the matter is escalated to </w:t>
      </w:r>
      <w:r w:rsidRPr="009217F7">
        <w:rPr>
          <w:rFonts w:ascii="Times New Roman" w:hAnsi="Times New Roman" w:cs="Times New Roman"/>
          <w:b/>
          <w:bCs/>
        </w:rPr>
        <w:t>Executive Management</w:t>
      </w:r>
      <w:r w:rsidRPr="009217F7">
        <w:rPr>
          <w:rFonts w:ascii="Times New Roman" w:hAnsi="Times New Roman" w:cs="Times New Roman"/>
        </w:rPr>
        <w:t>.</w:t>
      </w:r>
    </w:p>
    <w:p w14:paraId="19A92E69" w14:textId="77777777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t>6.3 Risk Exceptions</w:t>
      </w:r>
    </w:p>
    <w:p w14:paraId="0A66283F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Exceptions must be:</w:t>
      </w:r>
    </w:p>
    <w:p w14:paraId="0C22B1E9" w14:textId="77777777" w:rsidR="009217F7" w:rsidRPr="009217F7" w:rsidRDefault="009217F7" w:rsidP="009217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Time-bound</w:t>
      </w:r>
    </w:p>
    <w:p w14:paraId="2A0FF3E3" w14:textId="77777777" w:rsidR="009217F7" w:rsidRPr="009217F7" w:rsidRDefault="009217F7" w:rsidP="009217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Documented</w:t>
      </w:r>
    </w:p>
    <w:p w14:paraId="410C26CD" w14:textId="77777777" w:rsidR="009217F7" w:rsidRPr="009217F7" w:rsidRDefault="009217F7" w:rsidP="009217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Assigned to a named owner</w:t>
      </w:r>
    </w:p>
    <w:p w14:paraId="0A39706D" w14:textId="77777777" w:rsidR="009217F7" w:rsidRPr="009217F7" w:rsidRDefault="009217F7" w:rsidP="009217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Supported by a compensating control where appropriate</w:t>
      </w:r>
    </w:p>
    <w:p w14:paraId="589AB2EE" w14:textId="77777777" w:rsidR="009217F7" w:rsidRPr="009217F7" w:rsidRDefault="009217F7" w:rsidP="009217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Accompanied by a defined remediation date</w:t>
      </w:r>
    </w:p>
    <w:p w14:paraId="41CF2A2E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  <w:b/>
          <w:bCs/>
        </w:rPr>
        <w:t>Indefinite exceptions are not permitted.</w:t>
      </w:r>
    </w:p>
    <w:p w14:paraId="4391F8C2" w14:textId="7DA95504" w:rsidR="009217F7" w:rsidRPr="009217F7" w:rsidRDefault="009217F7" w:rsidP="009217F7">
      <w:pPr>
        <w:rPr>
          <w:rFonts w:ascii="Times New Roman" w:hAnsi="Times New Roman" w:cs="Times New Roman"/>
        </w:rPr>
      </w:pPr>
    </w:p>
    <w:p w14:paraId="52010058" w14:textId="77777777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t>7. Decision Ownership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5286"/>
      </w:tblGrid>
      <w:tr w:rsidR="009217F7" w:rsidRPr="009217F7" w14:paraId="6787F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70FF5" w14:textId="77777777" w:rsidR="009217F7" w:rsidRPr="009217F7" w:rsidRDefault="009217F7" w:rsidP="009217F7">
            <w:pPr>
              <w:rPr>
                <w:rFonts w:ascii="Times New Roman" w:hAnsi="Times New Roman" w:cs="Times New Roman"/>
                <w:b/>
                <w:bCs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1ABD143" w14:textId="77777777" w:rsidR="009217F7" w:rsidRPr="009217F7" w:rsidRDefault="009217F7" w:rsidP="009217F7">
            <w:pPr>
              <w:rPr>
                <w:rFonts w:ascii="Times New Roman" w:hAnsi="Times New Roman" w:cs="Times New Roman"/>
                <w:b/>
                <w:bCs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Decision Owner</w:t>
            </w:r>
          </w:p>
        </w:tc>
      </w:tr>
      <w:tr w:rsidR="009217F7" w:rsidRPr="009217F7" w14:paraId="3E7DE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D558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Vendor risk tier assignment</w:t>
            </w:r>
          </w:p>
        </w:tc>
        <w:tc>
          <w:tcPr>
            <w:tcW w:w="0" w:type="auto"/>
            <w:vAlign w:val="center"/>
            <w:hideMark/>
          </w:tcPr>
          <w:p w14:paraId="0A5D75D3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GRC</w:t>
            </w:r>
          </w:p>
        </w:tc>
      </w:tr>
      <w:tr w:rsidR="009217F7" w:rsidRPr="009217F7" w14:paraId="244D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0A53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Risk acceptance — Low / Medium tier</w:t>
            </w:r>
          </w:p>
        </w:tc>
        <w:tc>
          <w:tcPr>
            <w:tcW w:w="0" w:type="auto"/>
            <w:vAlign w:val="center"/>
            <w:hideMark/>
          </w:tcPr>
          <w:p w14:paraId="26E11774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GRC under delegated authority</w:t>
            </w:r>
          </w:p>
        </w:tc>
      </w:tr>
      <w:tr w:rsidR="009217F7" w:rsidRPr="009217F7" w14:paraId="335C6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25C2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Risk acceptance — High tier</w:t>
            </w:r>
          </w:p>
        </w:tc>
        <w:tc>
          <w:tcPr>
            <w:tcW w:w="0" w:type="auto"/>
            <w:vAlign w:val="center"/>
            <w:hideMark/>
          </w:tcPr>
          <w:p w14:paraId="2276670F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Executive Management, based on GRC recommendation</w:t>
            </w:r>
          </w:p>
        </w:tc>
      </w:tr>
      <w:tr w:rsidR="009217F7" w:rsidRPr="009217F7" w14:paraId="2ACF7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6441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Contract execution</w:t>
            </w:r>
          </w:p>
        </w:tc>
        <w:tc>
          <w:tcPr>
            <w:tcW w:w="0" w:type="auto"/>
            <w:vAlign w:val="center"/>
            <w:hideMark/>
          </w:tcPr>
          <w:p w14:paraId="5DE8108A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Procurement, contingent on GRC clearance where required</w:t>
            </w:r>
          </w:p>
        </w:tc>
      </w:tr>
      <w:tr w:rsidR="009217F7" w:rsidRPr="009217F7" w14:paraId="7A804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8E92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Access provisioning scope</w:t>
            </w:r>
          </w:p>
        </w:tc>
        <w:tc>
          <w:tcPr>
            <w:tcW w:w="0" w:type="auto"/>
            <w:vAlign w:val="center"/>
            <w:hideMark/>
          </w:tcPr>
          <w:p w14:paraId="195F5D05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Business Owner defines; IT / Engineering enforces</w:t>
            </w:r>
          </w:p>
        </w:tc>
      </w:tr>
      <w:tr w:rsidR="009217F7" w:rsidRPr="009217F7" w14:paraId="0A647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0CB2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Exception approval — Minor</w:t>
            </w:r>
          </w:p>
        </w:tc>
        <w:tc>
          <w:tcPr>
            <w:tcW w:w="0" w:type="auto"/>
            <w:vAlign w:val="center"/>
            <w:hideMark/>
          </w:tcPr>
          <w:p w14:paraId="063DC2BD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GRC</w:t>
            </w:r>
          </w:p>
        </w:tc>
      </w:tr>
      <w:tr w:rsidR="009217F7" w:rsidRPr="009217F7" w14:paraId="4D376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3F84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  <w:b/>
                <w:bCs/>
              </w:rPr>
              <w:t>Exception approval — Material</w:t>
            </w:r>
          </w:p>
        </w:tc>
        <w:tc>
          <w:tcPr>
            <w:tcW w:w="0" w:type="auto"/>
            <w:vAlign w:val="center"/>
            <w:hideMark/>
          </w:tcPr>
          <w:p w14:paraId="14459A26" w14:textId="77777777" w:rsidR="009217F7" w:rsidRPr="009217F7" w:rsidRDefault="009217F7" w:rsidP="009217F7">
            <w:pPr>
              <w:rPr>
                <w:rFonts w:ascii="Times New Roman" w:hAnsi="Times New Roman" w:cs="Times New Roman"/>
              </w:rPr>
            </w:pPr>
            <w:r w:rsidRPr="009217F7">
              <w:rPr>
                <w:rFonts w:ascii="Times New Roman" w:hAnsi="Times New Roman" w:cs="Times New Roman"/>
              </w:rPr>
              <w:t>Executive Management</w:t>
            </w:r>
          </w:p>
        </w:tc>
      </w:tr>
    </w:tbl>
    <w:p w14:paraId="624C9219" w14:textId="65836AE9" w:rsidR="009217F7" w:rsidRPr="009217F7" w:rsidRDefault="009217F7" w:rsidP="009217F7">
      <w:pPr>
        <w:rPr>
          <w:rFonts w:ascii="Times New Roman" w:hAnsi="Times New Roman" w:cs="Times New Roman"/>
        </w:rPr>
      </w:pPr>
    </w:p>
    <w:p w14:paraId="6AC21F4B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2E8DB55B" w14:textId="21A24F1F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lastRenderedPageBreak/>
        <w:t>8. TPRM Lifecycle Overview</w:t>
      </w:r>
    </w:p>
    <w:p w14:paraId="0D732998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The </w:t>
      </w:r>
      <w:proofErr w:type="spellStart"/>
      <w:r w:rsidRPr="009217F7">
        <w:rPr>
          <w:rFonts w:ascii="Times New Roman" w:hAnsi="Times New Roman" w:cs="Times New Roman"/>
        </w:rPr>
        <w:t>ApexBridge</w:t>
      </w:r>
      <w:proofErr w:type="spellEnd"/>
      <w:r w:rsidRPr="009217F7">
        <w:rPr>
          <w:rFonts w:ascii="Times New Roman" w:hAnsi="Times New Roman" w:cs="Times New Roman"/>
        </w:rPr>
        <w:t xml:space="preserve"> Technologies TPRM lifecycle follows a continuous process:</w:t>
      </w:r>
    </w:p>
    <w:p w14:paraId="160F7547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  <w:b/>
          <w:bCs/>
        </w:rPr>
        <w:t>Business Need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Vendor Identification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Initial Screening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Criticality &amp; Risk Tiering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Due Diligence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Risk Assessment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Contract &amp; Risk Requirements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Approval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Onboarding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Ongoing Monitoring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Periodic Reassessment</w:t>
      </w:r>
      <w:r w:rsidRPr="009217F7">
        <w:rPr>
          <w:rFonts w:ascii="Times New Roman" w:hAnsi="Times New Roman" w:cs="Times New Roman"/>
        </w:rPr>
        <w:br/>
        <w:t>↓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Renewal or Offboarding</w:t>
      </w:r>
    </w:p>
    <w:p w14:paraId="6A12DC16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The detailed decision points, inputs, outputs, and escalation paths are documented separately in the </w:t>
      </w:r>
      <w:r w:rsidRPr="009217F7">
        <w:rPr>
          <w:rFonts w:ascii="Times New Roman" w:hAnsi="Times New Roman" w:cs="Times New Roman"/>
          <w:b/>
          <w:bCs/>
        </w:rPr>
        <w:t>TPRM Lifecycle Workflow</w:t>
      </w:r>
      <w:r w:rsidRPr="009217F7">
        <w:rPr>
          <w:rFonts w:ascii="Times New Roman" w:hAnsi="Times New Roman" w:cs="Times New Roman"/>
        </w:rPr>
        <w:t xml:space="preserve"> artifact.</w:t>
      </w:r>
    </w:p>
    <w:p w14:paraId="70923A24" w14:textId="0120E46F" w:rsidR="009217F7" w:rsidRPr="009217F7" w:rsidRDefault="009217F7" w:rsidP="009217F7">
      <w:pPr>
        <w:rPr>
          <w:rFonts w:ascii="Times New Roman" w:hAnsi="Times New Roman" w:cs="Times New Roman"/>
        </w:rPr>
      </w:pPr>
    </w:p>
    <w:p w14:paraId="4BA742BB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2B94824F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73A8A603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1A6CA757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56CF4B41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76CF3B70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29883F19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152DB8FE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3309FB3A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5B44EA13" w14:textId="77777777" w:rsidR="005534C3" w:rsidRDefault="005534C3" w:rsidP="009217F7">
      <w:pPr>
        <w:rPr>
          <w:rFonts w:ascii="Times New Roman" w:hAnsi="Times New Roman" w:cs="Times New Roman"/>
          <w:b/>
          <w:bCs/>
        </w:rPr>
      </w:pPr>
    </w:p>
    <w:p w14:paraId="34CD6479" w14:textId="20F7BE1C" w:rsidR="009217F7" w:rsidRPr="009217F7" w:rsidRDefault="009217F7" w:rsidP="009217F7">
      <w:pPr>
        <w:rPr>
          <w:rFonts w:ascii="Times New Roman" w:hAnsi="Times New Roman" w:cs="Times New Roman"/>
          <w:b/>
          <w:bCs/>
        </w:rPr>
      </w:pPr>
      <w:r w:rsidRPr="009217F7">
        <w:rPr>
          <w:rFonts w:ascii="Times New Roman" w:hAnsi="Times New Roman" w:cs="Times New Roman"/>
          <w:b/>
          <w:bCs/>
        </w:rPr>
        <w:lastRenderedPageBreak/>
        <w:t>9. Governance Records</w:t>
      </w:r>
    </w:p>
    <w:p w14:paraId="4694574A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The GRC Function is responsible for maintaining evidence of key TPRM decisions, including:</w:t>
      </w:r>
    </w:p>
    <w:p w14:paraId="43E589D9" w14:textId="77777777" w:rsidR="009217F7" w:rsidRPr="009217F7" w:rsidRDefault="009217F7" w:rsidP="009217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Vendor risk tier assignments</w:t>
      </w:r>
    </w:p>
    <w:p w14:paraId="57E62D1C" w14:textId="77777777" w:rsidR="009217F7" w:rsidRPr="009217F7" w:rsidRDefault="009217F7" w:rsidP="009217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Due diligence outcomes</w:t>
      </w:r>
    </w:p>
    <w:p w14:paraId="345D7EDD" w14:textId="77777777" w:rsidR="009217F7" w:rsidRPr="009217F7" w:rsidRDefault="009217F7" w:rsidP="009217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Risk assessments</w:t>
      </w:r>
    </w:p>
    <w:p w14:paraId="01D8A926" w14:textId="77777777" w:rsidR="009217F7" w:rsidRPr="009217F7" w:rsidRDefault="009217F7" w:rsidP="009217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Risk acceptance decisions</w:t>
      </w:r>
    </w:p>
    <w:p w14:paraId="6FDDC781" w14:textId="77777777" w:rsidR="009217F7" w:rsidRPr="009217F7" w:rsidRDefault="009217F7" w:rsidP="009217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Approved exceptions</w:t>
      </w:r>
    </w:p>
    <w:p w14:paraId="2A3BA29E" w14:textId="77777777" w:rsidR="009217F7" w:rsidRPr="009217F7" w:rsidRDefault="009217F7" w:rsidP="009217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Compensating controls</w:t>
      </w:r>
    </w:p>
    <w:p w14:paraId="4CDA5074" w14:textId="77777777" w:rsidR="009217F7" w:rsidRPr="009217F7" w:rsidRDefault="009217F7" w:rsidP="009217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Remediation commitments</w:t>
      </w:r>
    </w:p>
    <w:p w14:paraId="6E4D4FCC" w14:textId="77777777" w:rsidR="009217F7" w:rsidRPr="009217F7" w:rsidRDefault="009217F7" w:rsidP="009217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Reassessment schedules</w:t>
      </w:r>
    </w:p>
    <w:p w14:paraId="26FB4743" w14:textId="77777777" w:rsidR="009217F7" w:rsidRPr="009217F7" w:rsidRDefault="009217F7" w:rsidP="009217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>Material escalation decisions</w:t>
      </w:r>
    </w:p>
    <w:p w14:paraId="10E99C73" w14:textId="77777777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t xml:space="preserve">These records provide an auditable trail showing </w:t>
      </w:r>
      <w:r w:rsidRPr="009217F7">
        <w:rPr>
          <w:rFonts w:ascii="Times New Roman" w:hAnsi="Times New Roman" w:cs="Times New Roman"/>
          <w:b/>
          <w:bCs/>
        </w:rPr>
        <w:t>what decision was made, why it was made, who approved it, and what evidence supported the decision</w:t>
      </w:r>
      <w:r w:rsidRPr="009217F7">
        <w:rPr>
          <w:rFonts w:ascii="Times New Roman" w:hAnsi="Times New Roman" w:cs="Times New Roman"/>
        </w:rPr>
        <w:t>.</w:t>
      </w:r>
    </w:p>
    <w:p w14:paraId="77F5A72F" w14:textId="142B8B15" w:rsidR="009217F7" w:rsidRPr="009217F7" w:rsidRDefault="009217F7" w:rsidP="009217F7">
      <w:pPr>
        <w:rPr>
          <w:rFonts w:ascii="Times New Roman" w:hAnsi="Times New Roman" w:cs="Times New Roman"/>
        </w:rPr>
      </w:pP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Artifact Type:</w:t>
      </w:r>
      <w:r w:rsidRPr="009217F7">
        <w:rPr>
          <w:rFonts w:ascii="Times New Roman" w:hAnsi="Times New Roman" w:cs="Times New Roman"/>
        </w:rPr>
        <w:t xml:space="preserve"> Simulated TPRM Governance Artifact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Owner:</w:t>
      </w:r>
      <w:r w:rsidRPr="009217F7">
        <w:rPr>
          <w:rFonts w:ascii="Times New Roman" w:hAnsi="Times New Roman" w:cs="Times New Roman"/>
        </w:rPr>
        <w:t xml:space="preserve"> GRC Function</w:t>
      </w:r>
      <w:r w:rsidRPr="009217F7">
        <w:rPr>
          <w:rFonts w:ascii="Times New Roman" w:hAnsi="Times New Roman" w:cs="Times New Roman"/>
        </w:rPr>
        <w:br/>
      </w:r>
      <w:r w:rsidRPr="009217F7">
        <w:rPr>
          <w:rFonts w:ascii="Times New Roman" w:hAnsi="Times New Roman" w:cs="Times New Roman"/>
          <w:b/>
          <w:bCs/>
        </w:rPr>
        <w:t>Organization:</w:t>
      </w:r>
      <w:r w:rsidRPr="009217F7">
        <w:rPr>
          <w:rFonts w:ascii="Times New Roman" w:hAnsi="Times New Roman" w:cs="Times New Roman"/>
        </w:rPr>
        <w:t xml:space="preserve"> </w:t>
      </w:r>
      <w:proofErr w:type="spellStart"/>
      <w:r w:rsidRPr="009217F7">
        <w:rPr>
          <w:rFonts w:ascii="Times New Roman" w:hAnsi="Times New Roman" w:cs="Times New Roman"/>
        </w:rPr>
        <w:t>ApexBridge</w:t>
      </w:r>
      <w:proofErr w:type="spellEnd"/>
      <w:r w:rsidRPr="009217F7">
        <w:rPr>
          <w:rFonts w:ascii="Times New Roman" w:hAnsi="Times New Roman" w:cs="Times New Roman"/>
        </w:rPr>
        <w:t xml:space="preserve"> Technologies</w:t>
      </w:r>
    </w:p>
    <w:p w14:paraId="537DEBE5" w14:textId="77777777" w:rsidR="00784060" w:rsidRPr="009217F7" w:rsidRDefault="00784060">
      <w:pPr>
        <w:rPr>
          <w:rFonts w:ascii="Times New Roman" w:hAnsi="Times New Roman" w:cs="Times New Roman"/>
        </w:rPr>
      </w:pPr>
    </w:p>
    <w:sectPr w:rsidR="00784060" w:rsidRPr="00921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91EB8"/>
    <w:multiLevelType w:val="multilevel"/>
    <w:tmpl w:val="3A6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43E88"/>
    <w:multiLevelType w:val="multilevel"/>
    <w:tmpl w:val="6982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7F3CFA"/>
    <w:multiLevelType w:val="multilevel"/>
    <w:tmpl w:val="F922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00BE7"/>
    <w:multiLevelType w:val="multilevel"/>
    <w:tmpl w:val="7BA0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C5EBF"/>
    <w:multiLevelType w:val="multilevel"/>
    <w:tmpl w:val="1B08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637390">
    <w:abstractNumId w:val="0"/>
  </w:num>
  <w:num w:numId="2" w16cid:durableId="1499609946">
    <w:abstractNumId w:val="2"/>
  </w:num>
  <w:num w:numId="3" w16cid:durableId="69040412">
    <w:abstractNumId w:val="4"/>
  </w:num>
  <w:num w:numId="4" w16cid:durableId="1204752716">
    <w:abstractNumId w:val="3"/>
  </w:num>
  <w:num w:numId="5" w16cid:durableId="1476029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F7"/>
    <w:rsid w:val="005534C3"/>
    <w:rsid w:val="00784060"/>
    <w:rsid w:val="009217F7"/>
    <w:rsid w:val="00D10677"/>
    <w:rsid w:val="00DA570F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6327"/>
  <w15:chartTrackingRefBased/>
  <w15:docId w15:val="{713D82AA-DBB4-4362-9360-40EDC2DC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7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7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7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7F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7F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7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7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7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7F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854</Words>
  <Characters>4871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Aryvn Neupane</dc:creator>
  <cp:keywords/>
  <dc:description/>
  <cp:lastModifiedBy>Aryvn Neupane</cp:lastModifiedBy>
  <cp:revision>2</cp:revision>
  <dcterms:created xsi:type="dcterms:W3CDTF">2026-10-05T15:37:00Z</dcterms:created>
  <dcterms:modified xsi:type="dcterms:W3CDTF">2026-10-05T15:40:00Z</dcterms:modified>
</cp:coreProperties>
</file>