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D4A4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APEXBRIDGE TECHNOLOGIES</w:t>
      </w:r>
    </w:p>
    <w:p w14:paraId="5571778F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EVIDENCE REVIEW METHODOLOGY</w:t>
      </w:r>
    </w:p>
    <w:p w14:paraId="7D049D02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Purpose</w:t>
      </w:r>
    </w:p>
    <w:p w14:paraId="350863CB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 xml:space="preserve">Defines how </w:t>
      </w:r>
      <w:proofErr w:type="spellStart"/>
      <w:r w:rsidRPr="005B06DF">
        <w:rPr>
          <w:rFonts w:ascii="Times New Roman" w:hAnsi="Times New Roman" w:cs="Times New Roman"/>
        </w:rPr>
        <w:t>ApexBridge</w:t>
      </w:r>
      <w:proofErr w:type="spellEnd"/>
      <w:r w:rsidRPr="005B06DF">
        <w:rPr>
          <w:rFonts w:ascii="Times New Roman" w:hAnsi="Times New Roman" w:cs="Times New Roman"/>
        </w:rPr>
        <w:t xml:space="preserve"> evaluates third-party evidence to determine whether a control claim is adequately supported, and how shortfalls are classified and escalated.</w:t>
      </w:r>
    </w:p>
    <w:p w14:paraId="1DE92536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Scope</w:t>
      </w:r>
    </w:p>
    <w:p w14:paraId="14454084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Applies to all evidence received from third parties as part of TPRM due diligence, at any tier.</w:t>
      </w:r>
    </w:p>
    <w:p w14:paraId="3FC8CEC3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Evaluation Dimensions</w:t>
      </w:r>
    </w:p>
    <w:p w14:paraId="15B0DB45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Every significant evidence item is assessed against the following dimensions:</w:t>
      </w:r>
    </w:p>
    <w:p w14:paraId="3CD8A408" w14:textId="074D1B35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 xml:space="preserve">• Relevance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Does it address the control in question?</w:t>
      </w:r>
      <w:r w:rsidRPr="005B06DF">
        <w:rPr>
          <w:rFonts w:ascii="Times New Roman" w:hAnsi="Times New Roman" w:cs="Times New Roman"/>
        </w:rPr>
        <w:br/>
        <w:t xml:space="preserve">• Scope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Does it cover the relevant service, environment, entity, geography, system, and period?</w:t>
      </w:r>
      <w:r w:rsidRPr="005B06DF">
        <w:rPr>
          <w:rFonts w:ascii="Times New Roman" w:hAnsi="Times New Roman" w:cs="Times New Roman"/>
        </w:rPr>
        <w:br/>
        <w:t xml:space="preserve">• Validity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Is the evidence authentic and applicable?</w:t>
      </w:r>
      <w:r w:rsidRPr="005B06DF">
        <w:rPr>
          <w:rFonts w:ascii="Times New Roman" w:hAnsi="Times New Roman" w:cs="Times New Roman"/>
        </w:rPr>
        <w:br/>
        <w:t xml:space="preserve">• Currency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Is it recent enough for the risk being assessed?</w:t>
      </w:r>
      <w:r w:rsidRPr="005B06DF">
        <w:rPr>
          <w:rFonts w:ascii="Times New Roman" w:hAnsi="Times New Roman" w:cs="Times New Roman"/>
        </w:rPr>
        <w:br/>
        <w:t xml:space="preserve">• Completeness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Are exceptions and limitations included?</w:t>
      </w:r>
      <w:r w:rsidRPr="005B06DF">
        <w:rPr>
          <w:rFonts w:ascii="Times New Roman" w:hAnsi="Times New Roman" w:cs="Times New Roman"/>
        </w:rPr>
        <w:br/>
        <w:t xml:space="preserve">• Reliability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Is the evidence based on independent assurance, third-party testing, internal documentation, or self-attestation?</w:t>
      </w:r>
    </w:p>
    <w:p w14:paraId="5E19A910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Evidence Reliability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6560"/>
        <w:gridCol w:w="2141"/>
      </w:tblGrid>
      <w:tr w:rsidR="005B06DF" w:rsidRPr="005B06DF" w14:paraId="020AC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7A2B5" w14:textId="77777777" w:rsidR="005B06DF" w:rsidRPr="005B06DF" w:rsidRDefault="005B06DF" w:rsidP="005B06DF">
            <w:pPr>
              <w:rPr>
                <w:rFonts w:ascii="Times New Roman" w:hAnsi="Times New Roman" w:cs="Times New Roman"/>
                <w:b/>
                <w:bCs/>
              </w:rPr>
            </w:pPr>
            <w:r w:rsidRPr="005B06DF">
              <w:rPr>
                <w:rFonts w:ascii="Times New Roman" w:hAnsi="Times New Roman" w:cs="Times New Roman"/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DA9AFB4" w14:textId="77777777" w:rsidR="005B06DF" w:rsidRPr="005B06DF" w:rsidRDefault="005B06DF" w:rsidP="005B06DF">
            <w:pPr>
              <w:rPr>
                <w:rFonts w:ascii="Times New Roman" w:hAnsi="Times New Roman" w:cs="Times New Roman"/>
                <w:b/>
                <w:bCs/>
              </w:rPr>
            </w:pPr>
            <w:r w:rsidRPr="005B06D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C65DD7" w14:textId="77777777" w:rsidR="005B06DF" w:rsidRPr="005B06DF" w:rsidRDefault="005B06DF" w:rsidP="005B06DF">
            <w:pPr>
              <w:rPr>
                <w:rFonts w:ascii="Times New Roman" w:hAnsi="Times New Roman" w:cs="Times New Roman"/>
                <w:b/>
                <w:bCs/>
              </w:rPr>
            </w:pPr>
            <w:r w:rsidRPr="005B06DF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5B06DF" w:rsidRPr="005B06DF" w14:paraId="52EE0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0C71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293C0C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Independent assurance or third-party testing covering the relevant scope</w:t>
            </w:r>
          </w:p>
        </w:tc>
        <w:tc>
          <w:tcPr>
            <w:tcW w:w="0" w:type="auto"/>
            <w:vAlign w:val="center"/>
            <w:hideMark/>
          </w:tcPr>
          <w:p w14:paraId="7CF15F9D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Highest</w:t>
            </w:r>
          </w:p>
        </w:tc>
      </w:tr>
      <w:tr w:rsidR="005B06DF" w:rsidRPr="005B06DF" w14:paraId="4DF1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492F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3D5C0D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Internal documentation evidencing operation (test results, review records)</w:t>
            </w:r>
          </w:p>
        </w:tc>
        <w:tc>
          <w:tcPr>
            <w:tcW w:w="0" w:type="auto"/>
            <w:vAlign w:val="center"/>
            <w:hideMark/>
          </w:tcPr>
          <w:p w14:paraId="5F013F9A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Moderate</w:t>
            </w:r>
          </w:p>
        </w:tc>
      </w:tr>
      <w:tr w:rsidR="005B06DF" w:rsidRPr="005B06DF" w14:paraId="4E73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27A8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194979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Policy or procedure documentation</w:t>
            </w:r>
          </w:p>
        </w:tc>
        <w:tc>
          <w:tcPr>
            <w:tcW w:w="0" w:type="auto"/>
            <w:vAlign w:val="center"/>
            <w:hideMark/>
          </w:tcPr>
          <w:p w14:paraId="772480F1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Establishes design only</w:t>
            </w:r>
          </w:p>
        </w:tc>
      </w:tr>
      <w:tr w:rsidR="005B06DF" w:rsidRPr="005B06DF" w14:paraId="6031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1CD4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3FBFFD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Self-attestation or unsupported vendor statement</w:t>
            </w:r>
          </w:p>
        </w:tc>
        <w:tc>
          <w:tcPr>
            <w:tcW w:w="0" w:type="auto"/>
            <w:vAlign w:val="center"/>
            <w:hideMark/>
          </w:tcPr>
          <w:p w14:paraId="41B537FC" w14:textId="77777777" w:rsidR="005B06DF" w:rsidRPr="005B06DF" w:rsidRDefault="005B06DF" w:rsidP="005B06DF">
            <w:pPr>
              <w:rPr>
                <w:rFonts w:ascii="Times New Roman" w:hAnsi="Times New Roman" w:cs="Times New Roman"/>
              </w:rPr>
            </w:pPr>
            <w:r w:rsidRPr="005B06DF">
              <w:rPr>
                <w:rFonts w:ascii="Times New Roman" w:hAnsi="Times New Roman" w:cs="Times New Roman"/>
              </w:rPr>
              <w:t>Lowest</w:t>
            </w:r>
          </w:p>
        </w:tc>
      </w:tr>
    </w:tbl>
    <w:p w14:paraId="6731BC58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Reliability tier is not the same as sufficiency. Tier 1 evidence outside the relevant scope supports nothing; Tier 3 evidence may be adequate for a low-risk vendor.</w:t>
      </w:r>
    </w:p>
    <w:p w14:paraId="7A1375E0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Assurance Report Review Requirements</w:t>
      </w:r>
    </w:p>
    <w:p w14:paraId="579E0085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ISO 27001</w:t>
      </w:r>
    </w:p>
    <w:p w14:paraId="6386C8C1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Review:</w:t>
      </w:r>
    </w:p>
    <w:p w14:paraId="44D0772B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• Certification status</w:t>
      </w:r>
      <w:r w:rsidRPr="005B06DF">
        <w:rPr>
          <w:rFonts w:ascii="Times New Roman" w:hAnsi="Times New Roman" w:cs="Times New Roman"/>
        </w:rPr>
        <w:br/>
        <w:t>• Accredited certification body</w:t>
      </w:r>
      <w:r w:rsidRPr="005B06DF">
        <w:rPr>
          <w:rFonts w:ascii="Times New Roman" w:hAnsi="Times New Roman" w:cs="Times New Roman"/>
        </w:rPr>
        <w:br/>
        <w:t>• Validity dates</w:t>
      </w:r>
      <w:r w:rsidRPr="005B06DF">
        <w:rPr>
          <w:rFonts w:ascii="Times New Roman" w:hAnsi="Times New Roman" w:cs="Times New Roman"/>
        </w:rPr>
        <w:br/>
        <w:t>• Scope statement, including covered services and locations</w:t>
      </w:r>
    </w:p>
    <w:p w14:paraId="0C788B69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SOC 2</w:t>
      </w:r>
    </w:p>
    <w:p w14:paraId="0788E602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Review:</w:t>
      </w:r>
    </w:p>
    <w:p w14:paraId="29EC8A4F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lastRenderedPageBreak/>
        <w:t>• Report type</w:t>
      </w:r>
      <w:r w:rsidRPr="005B06DF">
        <w:rPr>
          <w:rFonts w:ascii="Times New Roman" w:hAnsi="Times New Roman" w:cs="Times New Roman"/>
        </w:rPr>
        <w:br/>
        <w:t>• Reporting period</w:t>
      </w:r>
      <w:r w:rsidRPr="005B06DF">
        <w:rPr>
          <w:rFonts w:ascii="Times New Roman" w:hAnsi="Times New Roman" w:cs="Times New Roman"/>
        </w:rPr>
        <w:br/>
        <w:t>• System description boundary</w:t>
      </w:r>
      <w:r w:rsidRPr="005B06DF">
        <w:rPr>
          <w:rFonts w:ascii="Times New Roman" w:hAnsi="Times New Roman" w:cs="Times New Roman"/>
        </w:rPr>
        <w:br/>
        <w:t>• Trust Services Criteria</w:t>
      </w:r>
      <w:r w:rsidRPr="005B06DF">
        <w:rPr>
          <w:rFonts w:ascii="Times New Roman" w:hAnsi="Times New Roman" w:cs="Times New Roman"/>
        </w:rPr>
        <w:br/>
        <w:t>• Exceptions</w:t>
      </w:r>
      <w:r w:rsidRPr="005B06DF">
        <w:rPr>
          <w:rFonts w:ascii="Times New Roman" w:hAnsi="Times New Roman" w:cs="Times New Roman"/>
        </w:rPr>
        <w:br/>
        <w:t>• Complementary User Entity Controls (CUECs)</w:t>
      </w:r>
      <w:r w:rsidRPr="005B06DF">
        <w:rPr>
          <w:rFonts w:ascii="Times New Roman" w:hAnsi="Times New Roman" w:cs="Times New Roman"/>
        </w:rPr>
        <w:br/>
        <w:t>• Subservice organization treatment</w:t>
      </w:r>
    </w:p>
    <w:p w14:paraId="7282B949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Classification</w:t>
      </w:r>
    </w:p>
    <w:p w14:paraId="1C0B1564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Review outcomes are classified as:</w:t>
      </w:r>
    </w:p>
    <w:p w14:paraId="70405825" w14:textId="504E5509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 xml:space="preserve">• No Issue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Evidence adequately supports the requirement with no material concern identified.</w:t>
      </w:r>
      <w:r w:rsidRPr="005B06DF">
        <w:rPr>
          <w:rFonts w:ascii="Times New Roman" w:hAnsi="Times New Roman" w:cs="Times New Roman"/>
        </w:rPr>
        <w:br/>
        <w:t xml:space="preserve">• Observation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A point is noted but does not require action.</w:t>
      </w:r>
      <w:r w:rsidRPr="005B06DF">
        <w:rPr>
          <w:rFonts w:ascii="Times New Roman" w:hAnsi="Times New Roman" w:cs="Times New Roman"/>
        </w:rPr>
        <w:br/>
        <w:t xml:space="preserve">• Evidence Gap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Required evidence has not been provided or the evidence provided is insufficient.</w:t>
      </w:r>
      <w:r w:rsidRPr="005B06DF">
        <w:rPr>
          <w:rFonts w:ascii="Times New Roman" w:hAnsi="Times New Roman" w:cs="Times New Roman"/>
        </w:rPr>
        <w:br/>
        <w:t xml:space="preserve">• Control Gap </w:t>
      </w:r>
      <w:r>
        <w:rPr>
          <w:rFonts w:ascii="Times New Roman" w:hAnsi="Times New Roman" w:cs="Times New Roman"/>
        </w:rPr>
        <w:t xml:space="preserve">- </w:t>
      </w:r>
      <w:r w:rsidRPr="005B06DF">
        <w:rPr>
          <w:rFonts w:ascii="Times New Roman" w:hAnsi="Times New Roman" w:cs="Times New Roman"/>
        </w:rPr>
        <w:t>The control environment does not adequately address the requirement.</w:t>
      </w:r>
    </w:p>
    <w:p w14:paraId="6F8273D5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Only classifications supported by evidence and assessed as material become Findings.</w:t>
      </w:r>
    </w:p>
    <w:p w14:paraId="7AA29DE6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Severity</w:t>
      </w:r>
    </w:p>
    <w:p w14:paraId="4B907392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Findings are rated Critical, High, Medium, or Low based on:</w:t>
      </w:r>
    </w:p>
    <w:p w14:paraId="7FAE7AFB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Impact × Likelihood × Exposure/Context</w:t>
      </w:r>
    </w:p>
    <w:p w14:paraId="63B0F24E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The assessment also considers:</w:t>
      </w:r>
    </w:p>
    <w:p w14:paraId="164C95BF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• Data sensitivity</w:t>
      </w:r>
      <w:r w:rsidRPr="005B06DF">
        <w:rPr>
          <w:rFonts w:ascii="Times New Roman" w:hAnsi="Times New Roman" w:cs="Times New Roman"/>
        </w:rPr>
        <w:br/>
        <w:t>• System access</w:t>
      </w:r>
      <w:r w:rsidRPr="005B06DF">
        <w:rPr>
          <w:rFonts w:ascii="Times New Roman" w:hAnsi="Times New Roman" w:cs="Times New Roman"/>
        </w:rPr>
        <w:br/>
        <w:t>• Service criticality</w:t>
      </w:r>
      <w:r w:rsidRPr="005B06DF">
        <w:rPr>
          <w:rFonts w:ascii="Times New Roman" w:hAnsi="Times New Roman" w:cs="Times New Roman"/>
        </w:rPr>
        <w:br/>
        <w:t>• Exploitability</w:t>
      </w:r>
      <w:r w:rsidRPr="005B06DF">
        <w:rPr>
          <w:rFonts w:ascii="Times New Roman" w:hAnsi="Times New Roman" w:cs="Times New Roman"/>
        </w:rPr>
        <w:br/>
        <w:t>• Compensating controls</w:t>
      </w:r>
      <w:r w:rsidRPr="005B06DF">
        <w:rPr>
          <w:rFonts w:ascii="Times New Roman" w:hAnsi="Times New Roman" w:cs="Times New Roman"/>
        </w:rPr>
        <w:br/>
        <w:t>• Duration</w:t>
      </w:r>
      <w:r w:rsidRPr="005B06DF">
        <w:rPr>
          <w:rFonts w:ascii="Times New Roman" w:hAnsi="Times New Roman" w:cs="Times New Roman"/>
        </w:rPr>
        <w:br/>
        <w:t>• Regulatory implications</w:t>
      </w:r>
    </w:p>
    <w:p w14:paraId="13197A16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Escalation</w:t>
      </w:r>
    </w:p>
    <w:p w14:paraId="536D4C39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Escalation is proportional to risk.</w:t>
      </w:r>
    </w:p>
    <w:p w14:paraId="23120352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• High and Critical findings affecting Tier 1 vendors escalate to Executive Management in accordance with the TPRM governance model.</w:t>
      </w:r>
      <w:r w:rsidRPr="005B06DF">
        <w:rPr>
          <w:rFonts w:ascii="Times New Roman" w:hAnsi="Times New Roman" w:cs="Times New Roman"/>
        </w:rPr>
        <w:br/>
        <w:t>• Medium and Low findings are managed by GRC.</w:t>
      </w:r>
      <w:r w:rsidRPr="005B06DF">
        <w:rPr>
          <w:rFonts w:ascii="Times New Roman" w:hAnsi="Times New Roman" w:cs="Times New Roman"/>
        </w:rPr>
        <w:br/>
        <w:t>• Documentation imperfections without material risk implications are not escalated.</w:t>
      </w:r>
    </w:p>
    <w:p w14:paraId="051627C0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Cause Determination</w:t>
      </w:r>
    </w:p>
    <w:p w14:paraId="3DFFA4C0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Cause is recorded only where reasonably established by available evidence.</w:t>
      </w:r>
    </w:p>
    <w:p w14:paraId="136035D7" w14:textId="77777777" w:rsidR="005B06DF" w:rsidRPr="005B06DF" w:rsidRDefault="005B06DF" w:rsidP="005B06DF">
      <w:pPr>
        <w:rPr>
          <w:rFonts w:ascii="Times New Roman" w:hAnsi="Times New Roman" w:cs="Times New Roman"/>
        </w:rPr>
      </w:pPr>
      <w:r w:rsidRPr="005B06DF">
        <w:rPr>
          <w:rFonts w:ascii="Times New Roman" w:hAnsi="Times New Roman" w:cs="Times New Roman"/>
        </w:rPr>
        <w:t>Speculative cause attribution is not permitted.</w:t>
      </w:r>
    </w:p>
    <w:p w14:paraId="5DA3A370" w14:textId="77777777" w:rsidR="00784060" w:rsidRPr="005B06DF" w:rsidRDefault="00784060">
      <w:pPr>
        <w:rPr>
          <w:rFonts w:ascii="Times New Roman" w:hAnsi="Times New Roman" w:cs="Times New Roman"/>
        </w:rPr>
      </w:pPr>
    </w:p>
    <w:sectPr w:rsidR="00784060" w:rsidRPr="005B0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4786"/>
    <w:multiLevelType w:val="multilevel"/>
    <w:tmpl w:val="22DA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08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8E"/>
    <w:rsid w:val="00160B1F"/>
    <w:rsid w:val="005B06DF"/>
    <w:rsid w:val="00784060"/>
    <w:rsid w:val="00C14E8E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159B"/>
  <w15:chartTrackingRefBased/>
  <w15:docId w15:val="{4B9CA0B4-1C2A-4B91-9FFF-91FD26B1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2</cp:revision>
  <dcterms:created xsi:type="dcterms:W3CDTF">2026-10-07T05:51:00Z</dcterms:created>
  <dcterms:modified xsi:type="dcterms:W3CDTF">2026-10-07T05:52:00Z</dcterms:modified>
</cp:coreProperties>
</file>