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D3A8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APEXBRIDGE TECHNOLOGIES</w:t>
      </w:r>
    </w:p>
    <w:p w14:paraId="734BA9BF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REMEDIATION &amp; RISK TREATMENT METHODOLOGY</w:t>
      </w:r>
    </w:p>
    <w:p w14:paraId="14A80451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38BBFCCC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Purpose</w:t>
      </w:r>
    </w:p>
    <w:p w14:paraId="1EDDF40E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 xml:space="preserve">Defines how </w:t>
      </w:r>
      <w:proofErr w:type="spellStart"/>
      <w:r w:rsidRPr="00894138">
        <w:rPr>
          <w:rFonts w:ascii="Times New Roman" w:hAnsi="Times New Roman" w:cs="Times New Roman"/>
        </w:rPr>
        <w:t>ApexBridge</w:t>
      </w:r>
      <w:proofErr w:type="spellEnd"/>
      <w:r w:rsidRPr="00894138">
        <w:rPr>
          <w:rFonts w:ascii="Times New Roman" w:hAnsi="Times New Roman" w:cs="Times New Roman"/>
        </w:rPr>
        <w:t xml:space="preserve"> decides what to do about identified third-party risk, assigns accountability, tracks action, and determines when a finding may be closed.</w:t>
      </w:r>
    </w:p>
    <w:p w14:paraId="6561C8DA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43E87DAD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Scope</w:t>
      </w:r>
    </w:p>
    <w:p w14:paraId="492A1F5A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Applies to all findings and observations arising from TPRM assessment and evidence review activity.</w:t>
      </w:r>
    </w:p>
    <w:p w14:paraId="3FA0D9FC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7001A0CD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Treatment Options</w:t>
      </w:r>
    </w:p>
    <w:p w14:paraId="0982C1E7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 xml:space="preserve">Mitigate: Reduce likelihood or impact through corrective action by the vendor, </w:t>
      </w:r>
      <w:proofErr w:type="spellStart"/>
      <w:r w:rsidRPr="00894138">
        <w:rPr>
          <w:rFonts w:ascii="Times New Roman" w:hAnsi="Times New Roman" w:cs="Times New Roman"/>
        </w:rPr>
        <w:t>ApexBridge</w:t>
      </w:r>
      <w:proofErr w:type="spellEnd"/>
      <w:r w:rsidRPr="00894138">
        <w:rPr>
          <w:rFonts w:ascii="Times New Roman" w:hAnsi="Times New Roman" w:cs="Times New Roman"/>
        </w:rPr>
        <w:t>, or both.</w:t>
      </w:r>
    </w:p>
    <w:p w14:paraId="78555DE8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Accept: Consciously acknowledge within documented authority, with conditions and an expiry date.</w:t>
      </w:r>
    </w:p>
    <w:p w14:paraId="7E0086D0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Avoid: Discontinue or change the activity.</w:t>
      </w:r>
    </w:p>
    <w:p w14:paraId="1AAE2443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7540CB60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Transfer / Share: Allocate financial or contractual consequence. Used as a complement to mitigation rather than a substitute.</w:t>
      </w:r>
    </w:p>
    <w:p w14:paraId="346BB256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51C71EC8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Accountability</w:t>
      </w:r>
    </w:p>
    <w:p w14:paraId="3D95EC21" w14:textId="3B908DAC" w:rsidR="00161C34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Role: Risk Owner</w:t>
      </w:r>
    </w:p>
    <w:p w14:paraId="6C2BBF42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Accountable for: The risk decision and its consequences. Always a business role, never GRC, except where the risk is in a GRC-owned process.</w:t>
      </w:r>
    </w:p>
    <w:p w14:paraId="655526F5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Role: Action / Control Owner</w:t>
      </w:r>
    </w:p>
    <w:p w14:paraId="0EC47912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Accountable for: Implementing the specific corrective action.</w:t>
      </w:r>
    </w:p>
    <w:p w14:paraId="226568E1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Role: Approver</w:t>
      </w:r>
    </w:p>
    <w:p w14:paraId="27754234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Accountable for: Authorizing the treatment per the TPRM governance model. Head of GRC for Low and Medium; Executive Management for High and Critical and any material acceptance.</w:t>
      </w:r>
    </w:p>
    <w:p w14:paraId="58797CC9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Role: GRC Analyst</w:t>
      </w:r>
    </w:p>
    <w:p w14:paraId="47B51831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Accountable for: Assessing, documenting, coordinating, tracking, challenging, validating, and reporting. Does not own risks or approve acceptances.</w:t>
      </w:r>
    </w:p>
    <w:p w14:paraId="096DDC3B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Corrective Action Standard</w:t>
      </w:r>
    </w:p>
    <w:p w14:paraId="56A68166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Every corrective action must be specific, actionable, assigned, measurable, time-bound, and risk-relevant.</w:t>
      </w:r>
    </w:p>
    <w:p w14:paraId="4CBF0836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lastRenderedPageBreak/>
        <w:t>Actions that restate the finding, or that satisfy its wording without reducing the underlying risk, are not acceptable.</w:t>
      </w:r>
    </w:p>
    <w:p w14:paraId="6336F9CC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57AAD782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Root Cause</w:t>
      </w:r>
    </w:p>
    <w:p w14:paraId="501A728A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Root cause is recorded where evidence establishes it, using the following sequence:</w:t>
      </w:r>
    </w:p>
    <w:p w14:paraId="21A8E995" w14:textId="77777777" w:rsidR="00894138" w:rsidRPr="00894138" w:rsidRDefault="00894138" w:rsidP="00894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Why does the issue exist?</w:t>
      </w:r>
    </w:p>
    <w:p w14:paraId="6815BD9C" w14:textId="77777777" w:rsidR="00894138" w:rsidRPr="00894138" w:rsidRDefault="00894138" w:rsidP="00894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Why was it not detected earlier?</w:t>
      </w:r>
    </w:p>
    <w:p w14:paraId="25180AA0" w14:textId="77777777" w:rsidR="00894138" w:rsidRPr="00894138" w:rsidRDefault="00894138" w:rsidP="008941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Why did the process allow it?</w:t>
      </w:r>
    </w:p>
    <w:p w14:paraId="265C66C1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Where evidence is insufficient, the record states:</w:t>
      </w:r>
    </w:p>
    <w:p w14:paraId="41DED0A8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"Root cause not yet confirmed; validation required."</w:t>
      </w:r>
    </w:p>
    <w:p w14:paraId="1BF78F01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Speculative attribution is not permitted.</w:t>
      </w:r>
    </w:p>
    <w:p w14:paraId="0335E844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Compensating Controls</w:t>
      </w:r>
    </w:p>
    <w:p w14:paraId="461C3672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Compensating controls reduce risk while the underlying weakness remains.</w:t>
      </w:r>
    </w:p>
    <w:p w14:paraId="436180AB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Each compensating control must have an end date tied to the remediation it supports and is recorded as a condition rather than a resolution.</w:t>
      </w:r>
    </w:p>
    <w:p w14:paraId="0E91F505" w14:textId="77777777" w:rsid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Slippage in the underlying remediation is escalated rather than absorbed by extending the compensating control.</w:t>
      </w:r>
    </w:p>
    <w:p w14:paraId="317B1D8F" w14:textId="77777777" w:rsidR="00161C34" w:rsidRPr="00894138" w:rsidRDefault="00161C34" w:rsidP="00894138">
      <w:pPr>
        <w:rPr>
          <w:rFonts w:ascii="Times New Roman" w:hAnsi="Times New Roman" w:cs="Times New Roman"/>
        </w:rPr>
      </w:pPr>
    </w:p>
    <w:p w14:paraId="10716C94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Target Dates</w:t>
      </w:r>
    </w:p>
    <w:p w14:paraId="6A5F203C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Target dates are risk-based, weighing:</w:t>
      </w:r>
    </w:p>
    <w:p w14:paraId="5E64A005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• Severity</w:t>
      </w:r>
      <w:r w:rsidRPr="00894138">
        <w:rPr>
          <w:rFonts w:ascii="Times New Roman" w:hAnsi="Times New Roman" w:cs="Times New Roman"/>
        </w:rPr>
        <w:br/>
        <w:t>• Exploitability</w:t>
      </w:r>
      <w:r w:rsidRPr="00894138">
        <w:rPr>
          <w:rFonts w:ascii="Times New Roman" w:hAnsi="Times New Roman" w:cs="Times New Roman"/>
        </w:rPr>
        <w:br/>
        <w:t>• Exposure</w:t>
      </w:r>
      <w:r w:rsidRPr="00894138">
        <w:rPr>
          <w:rFonts w:ascii="Times New Roman" w:hAnsi="Times New Roman" w:cs="Times New Roman"/>
        </w:rPr>
        <w:br/>
        <w:t>• Business criticality</w:t>
      </w:r>
      <w:r w:rsidRPr="00894138">
        <w:rPr>
          <w:rFonts w:ascii="Times New Roman" w:hAnsi="Times New Roman" w:cs="Times New Roman"/>
        </w:rPr>
        <w:br/>
        <w:t>• Data sensitivity</w:t>
      </w:r>
      <w:r w:rsidRPr="00894138">
        <w:rPr>
          <w:rFonts w:ascii="Times New Roman" w:hAnsi="Times New Roman" w:cs="Times New Roman"/>
        </w:rPr>
        <w:br/>
        <w:t>• Regulatory impact</w:t>
      </w:r>
      <w:r w:rsidRPr="00894138">
        <w:rPr>
          <w:rFonts w:ascii="Times New Roman" w:hAnsi="Times New Roman" w:cs="Times New Roman"/>
        </w:rPr>
        <w:br/>
        <w:t>• Existing compensating controls</w:t>
      </w:r>
      <w:r w:rsidRPr="00894138">
        <w:rPr>
          <w:rFonts w:ascii="Times New Roman" w:hAnsi="Times New Roman" w:cs="Times New Roman"/>
        </w:rPr>
        <w:br/>
        <w:t>• Implementation complexity</w:t>
      </w:r>
    </w:p>
    <w:p w14:paraId="555BD42E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Indicative internal windows:</w:t>
      </w:r>
    </w:p>
    <w:p w14:paraId="3EE7C5EC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• Critical: Days, with immediate escalation</w:t>
      </w:r>
      <w:r w:rsidRPr="00894138">
        <w:rPr>
          <w:rFonts w:ascii="Times New Roman" w:hAnsi="Times New Roman" w:cs="Times New Roman"/>
        </w:rPr>
        <w:br/>
        <w:t>• High: Approximately 30 days</w:t>
      </w:r>
      <w:r w:rsidRPr="00894138">
        <w:rPr>
          <w:rFonts w:ascii="Times New Roman" w:hAnsi="Times New Roman" w:cs="Times New Roman"/>
        </w:rPr>
        <w:br/>
        <w:t>• Medium: Approximately 45 to 90 days</w:t>
      </w:r>
      <w:r w:rsidRPr="00894138">
        <w:rPr>
          <w:rFonts w:ascii="Times New Roman" w:hAnsi="Times New Roman" w:cs="Times New Roman"/>
        </w:rPr>
        <w:br/>
        <w:t>• Low: Next review cycle</w:t>
      </w:r>
    </w:p>
    <w:p w14:paraId="5CA0C713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 xml:space="preserve">These are </w:t>
      </w:r>
      <w:proofErr w:type="spellStart"/>
      <w:r w:rsidRPr="00894138">
        <w:rPr>
          <w:rFonts w:ascii="Times New Roman" w:hAnsi="Times New Roman" w:cs="Times New Roman"/>
        </w:rPr>
        <w:t>ApexBridge</w:t>
      </w:r>
      <w:proofErr w:type="spellEnd"/>
      <w:r w:rsidRPr="00894138">
        <w:rPr>
          <w:rFonts w:ascii="Times New Roman" w:hAnsi="Times New Roman" w:cs="Times New Roman"/>
        </w:rPr>
        <w:t xml:space="preserve"> internal targets, not external requirements, and may be varied with documented rationale.</w:t>
      </w:r>
    </w:p>
    <w:p w14:paraId="1F0203AA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lastRenderedPageBreak/>
        <w:t>Risk Acceptance</w:t>
      </w:r>
    </w:p>
    <w:p w14:paraId="2B53497B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Acceptance requires a documented record capturing:</w:t>
      </w:r>
    </w:p>
    <w:p w14:paraId="3536BA6B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• Risk</w:t>
      </w:r>
      <w:r w:rsidRPr="00894138">
        <w:rPr>
          <w:rFonts w:ascii="Times New Roman" w:hAnsi="Times New Roman" w:cs="Times New Roman"/>
        </w:rPr>
        <w:br/>
        <w:t>• Business context</w:t>
      </w:r>
      <w:r w:rsidRPr="00894138">
        <w:rPr>
          <w:rFonts w:ascii="Times New Roman" w:hAnsi="Times New Roman" w:cs="Times New Roman"/>
        </w:rPr>
        <w:br/>
        <w:t>• Inherent risk</w:t>
      </w:r>
      <w:r w:rsidRPr="00894138">
        <w:rPr>
          <w:rFonts w:ascii="Times New Roman" w:hAnsi="Times New Roman" w:cs="Times New Roman"/>
        </w:rPr>
        <w:br/>
        <w:t>• Existing controls</w:t>
      </w:r>
      <w:r w:rsidRPr="00894138">
        <w:rPr>
          <w:rFonts w:ascii="Times New Roman" w:hAnsi="Times New Roman" w:cs="Times New Roman"/>
        </w:rPr>
        <w:br/>
        <w:t>• Residual risk</w:t>
      </w:r>
      <w:r w:rsidRPr="00894138">
        <w:rPr>
          <w:rFonts w:ascii="Times New Roman" w:hAnsi="Times New Roman" w:cs="Times New Roman"/>
        </w:rPr>
        <w:br/>
        <w:t>• Rationale</w:t>
      </w:r>
      <w:r w:rsidRPr="00894138">
        <w:rPr>
          <w:rFonts w:ascii="Times New Roman" w:hAnsi="Times New Roman" w:cs="Times New Roman"/>
        </w:rPr>
        <w:br/>
        <w:t>• Alternatives considered</w:t>
      </w:r>
      <w:r w:rsidRPr="00894138">
        <w:rPr>
          <w:rFonts w:ascii="Times New Roman" w:hAnsi="Times New Roman" w:cs="Times New Roman"/>
        </w:rPr>
        <w:br/>
        <w:t>• Risk owner</w:t>
      </w:r>
      <w:r w:rsidRPr="00894138">
        <w:rPr>
          <w:rFonts w:ascii="Times New Roman" w:hAnsi="Times New Roman" w:cs="Times New Roman"/>
        </w:rPr>
        <w:br/>
        <w:t>• Approver</w:t>
      </w:r>
      <w:r w:rsidRPr="00894138">
        <w:rPr>
          <w:rFonts w:ascii="Times New Roman" w:hAnsi="Times New Roman" w:cs="Times New Roman"/>
        </w:rPr>
        <w:br/>
        <w:t>• Acceptance date</w:t>
      </w:r>
      <w:r w:rsidRPr="00894138">
        <w:rPr>
          <w:rFonts w:ascii="Times New Roman" w:hAnsi="Times New Roman" w:cs="Times New Roman"/>
        </w:rPr>
        <w:br/>
        <w:t>• Expiry / review date</w:t>
      </w:r>
      <w:r w:rsidRPr="00894138">
        <w:rPr>
          <w:rFonts w:ascii="Times New Roman" w:hAnsi="Times New Roman" w:cs="Times New Roman"/>
        </w:rPr>
        <w:br/>
        <w:t>• Conditions</w:t>
      </w:r>
      <w:r w:rsidRPr="00894138">
        <w:rPr>
          <w:rFonts w:ascii="Times New Roman" w:hAnsi="Times New Roman" w:cs="Times New Roman"/>
        </w:rPr>
        <w:br/>
        <w:t>• Monitoring requirements</w:t>
      </w:r>
    </w:p>
    <w:p w14:paraId="0F9A6055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Acceptances without an expiry date or conditions are not permitted.</w:t>
      </w:r>
    </w:p>
    <w:p w14:paraId="306E5EF8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Accepted risks are reported as accepted, not as closed.</w:t>
      </w:r>
    </w:p>
    <w:p w14:paraId="153E0B84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Closure</w:t>
      </w:r>
    </w:p>
    <w:p w14:paraId="084C7C02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Findings progress through the following stages:</w:t>
      </w:r>
    </w:p>
    <w:p w14:paraId="793DFCEA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Action Implemented → Evidence Submitted → GRC Validation → Effectiveness Confirmed → Closure Approved</w:t>
      </w:r>
    </w:p>
    <w:p w14:paraId="5A1C92F2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Closure criteria are defined when the action is set.</w:t>
      </w:r>
    </w:p>
    <w:p w14:paraId="153E2429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A finding is not closed on the basis of a vendor or owner statement that remediation is complete. Supporting evidence is required and is assessed for scope and currency in the same way as assessment evidence.</w:t>
      </w:r>
    </w:p>
    <w:p w14:paraId="0BFDEEFF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Escalation</w:t>
      </w:r>
    </w:p>
    <w:p w14:paraId="27C665A9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Escalation is proportional to risk.</w:t>
      </w:r>
    </w:p>
    <w:p w14:paraId="0136C0A4" w14:textId="77777777" w:rsidR="00894138" w:rsidRPr="00894138" w:rsidRDefault="00894138" w:rsidP="00894138">
      <w:pPr>
        <w:rPr>
          <w:rFonts w:ascii="Times New Roman" w:hAnsi="Times New Roman" w:cs="Times New Roman"/>
        </w:rPr>
      </w:pPr>
      <w:r w:rsidRPr="00894138">
        <w:rPr>
          <w:rFonts w:ascii="Times New Roman" w:hAnsi="Times New Roman" w:cs="Times New Roman"/>
        </w:rPr>
        <w:t>• High and Critical findings, any acceptance exceeding delegated authority, and material slippage against agreed target dates escalate to Executive Management.</w:t>
      </w:r>
      <w:r w:rsidRPr="00894138">
        <w:rPr>
          <w:rFonts w:ascii="Times New Roman" w:hAnsi="Times New Roman" w:cs="Times New Roman"/>
        </w:rPr>
        <w:br/>
        <w:t>• Disagreement between GRC and a risk owner that cannot be resolved is documented and escalated rather than settled informally.</w:t>
      </w:r>
    </w:p>
    <w:p w14:paraId="1615964D" w14:textId="77777777" w:rsidR="00784060" w:rsidRPr="00894138" w:rsidRDefault="00784060">
      <w:pPr>
        <w:rPr>
          <w:rFonts w:ascii="Times New Roman" w:hAnsi="Times New Roman" w:cs="Times New Roman"/>
        </w:rPr>
      </w:pPr>
    </w:p>
    <w:sectPr w:rsidR="00784060" w:rsidRPr="0089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560"/>
    <w:multiLevelType w:val="multilevel"/>
    <w:tmpl w:val="E134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35AC8"/>
    <w:multiLevelType w:val="multilevel"/>
    <w:tmpl w:val="EF4CD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327751">
    <w:abstractNumId w:val="0"/>
  </w:num>
  <w:num w:numId="2" w16cid:durableId="93848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9F"/>
    <w:rsid w:val="00161C34"/>
    <w:rsid w:val="00333C9F"/>
    <w:rsid w:val="00784060"/>
    <w:rsid w:val="0078672C"/>
    <w:rsid w:val="00894138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4736"/>
  <w15:chartTrackingRefBased/>
  <w15:docId w15:val="{BD6E421B-FF24-4F7A-849A-F50B373D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C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C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C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C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C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C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C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C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C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3</cp:revision>
  <dcterms:created xsi:type="dcterms:W3CDTF">2026-10-07T08:25:00Z</dcterms:created>
  <dcterms:modified xsi:type="dcterms:W3CDTF">2026-10-07T08:26:00Z</dcterms:modified>
</cp:coreProperties>
</file>