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27E" w:rsidRPr="006C027E" w:rsidRDefault="006C027E" w:rsidP="006C0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Statement of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Applicability :</w:t>
      </w:r>
      <w:proofErr w:type="gramEnd"/>
      <w:r w:rsidRPr="006C0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C0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SecureFusion</w:t>
      </w:r>
      <w:proofErr w:type="spellEnd"/>
      <w:r w:rsidRPr="006C0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Technologies</w:t>
      </w:r>
    </w:p>
    <w:p w:rsidR="006C027E" w:rsidRPr="006C027E" w:rsidRDefault="006C027E" w:rsidP="006C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27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C027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6C027E">
        <w:rPr>
          <w:rFonts w:ascii="Times New Roman" w:eastAsia="Times New Roman" w:hAnsi="Times New Roman" w:cs="Times New Roman"/>
          <w:sz w:val="24"/>
          <w:szCs w:val="24"/>
        </w:rPr>
        <w:br/>
      </w:r>
      <w:r w:rsidRPr="006C027E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6C027E">
        <w:rPr>
          <w:rFonts w:ascii="Times New Roman" w:eastAsia="Times New Roman" w:hAnsi="Times New Roman" w:cs="Times New Roman"/>
          <w:sz w:val="24"/>
          <w:szCs w:val="24"/>
        </w:rPr>
        <w:t xml:space="preserve"> Chief Information Security Officer (CISO)</w:t>
      </w:r>
      <w:r w:rsidRPr="006C027E">
        <w:rPr>
          <w:rFonts w:ascii="Times New Roman" w:eastAsia="Times New Roman" w:hAnsi="Times New Roman" w:cs="Times New Roman"/>
          <w:sz w:val="24"/>
          <w:szCs w:val="24"/>
        </w:rPr>
        <w:br/>
      </w:r>
      <w:r w:rsidRPr="006C027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C027E">
        <w:rPr>
          <w:rFonts w:ascii="Times New Roman" w:eastAsia="Times New Roman" w:hAnsi="Times New Roman" w:cs="Times New Roman"/>
          <w:sz w:val="24"/>
          <w:szCs w:val="24"/>
        </w:rPr>
        <w:t xml:space="preserve"> 2026-07-21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056"/>
        <w:gridCol w:w="856"/>
        <w:gridCol w:w="947"/>
        <w:gridCol w:w="571"/>
        <w:gridCol w:w="1202"/>
        <w:gridCol w:w="882"/>
        <w:gridCol w:w="908"/>
        <w:gridCol w:w="1298"/>
        <w:gridCol w:w="1045"/>
      </w:tblGrid>
      <w:tr w:rsidR="006C027E" w:rsidRPr="006C027E" w:rsidTr="006C0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Applicable?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Risk(s)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Policy/Procedure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Improvements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Policies for information security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 formal information security policy framework is required to govern security across global operations, cloud environments, Microsoft 365, remote workers, customer PII, and PCI DSS obligations.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R1, R2, R5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Policy; Policy Management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policies; review records; policy acknowledgements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Conduct annual policy effectiveness review and align policies with ISO 27001 certification requirements.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Threat intelligence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SecureFusion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operates globally and relies heavily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 AWS, Azure, Microsoft 365, and third-party services, creating exposure to evolving cyber threats.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R1, R3, R7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Threat Intelligence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Threat reports; security advisories; threat monitoring records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Establish a formal threat intelligence process with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documented sources, analysis, and management reporting.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5.8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in project management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requirements must be integrated into cloud projects, system changes, new products, and business initiatives.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R2, R4, R6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 Project Lifecycle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security reviews; security requirements; approval records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mandatory security checkpoints for all high-risk projects and technology changes.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of information and other associated assets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SecureFusion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processes customer PII and PCI-related information across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cloud platforms, Microsoft 365, endpoints, applications, and third-party services.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R2, R4, R6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Asset Management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IT Asset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Asset inventory; CMDB records; cloud asset listings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 automated discovery and establish ownership and classification for all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in-scope assets.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5.15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customer PII, financial information, cloud environments, and corporate systems must be restricted according to business need and least privilege.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R1, R2, R5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 Policy; Access Management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IAM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Access reviews; authorization records; RBAC configurations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centralized access governance and quarterly access certification for critical systems.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5.18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Access rights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Global operations, remote work, privilege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 cloud access, and third-party access require controlled provisioning, modification, and removal of access rights.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R1, R2, R6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Access Management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IAM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Joiner-mover-leaver records; access review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reports; privileged access logs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Integrate HR, IAM, and ticketing workflows to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automate access lifecycle management.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5.23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for use of cloud services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SecureFusion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heavily dependent on AWS and Azure. Multi-cloud shared-responsibility risks must be documented and managed.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R1, R2, R4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Cloud Security Policy; Cloud Governance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Cloud Security Lead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Cloud architecture reviews; CSP configurations; security assessment records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Formalize cloud security baselines and conduct documented annual reviews of AWS and Azure security posture.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5.24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Information security incident management planning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preparation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global, remote organization processing PII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payment-related information requires structured preparation for security incidents.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R1, R3, R5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Plan; Incident Management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plan; tabletop exercise records; contact lists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 organization-wide tabletop exercises and improve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incident-specific playbooks.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5.30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ICT readiness for business continuity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Dependence on AWS, Azure, Microsoft 365, and globally distributed operations creates availability and continuity requirements.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R4, R8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Continuity Plan; Disaster Recovery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Continuity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BCP; DR plans; recovery test results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Define and test formal RTO/RPO requirements for critical business services.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5.34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Privacy and protection of PII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SecureFusion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processes significant customer PII across jurisdicti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ons and must protect personal information throughout its lifecycle.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R2, R5, R6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Privacy Policy; Data Protection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Privacy Officer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Privacy impact assessments; data processing records; retention records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Expand privacy monitoring and conduct periodic reviews of cross-border data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processing activities.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6.3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awareness, education and training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Employees, remote workers, contractors, and privileged users require security awareness training appropriate to their roles.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R1, R3, R5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Awareness and Training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Awareness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completion records; phishing simulations; training materials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role-based training for developers, cloud administrators, finance, and privileged users.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Responsibilities after termination or change of employment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Global employees and contractors may retain access to systems and information if </w:t>
            </w: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offboarding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properly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managed.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R1, R2, R6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Joiner-Mover-Leaver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Termination checklists; access removal records; exit confirmations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automated HR-to-IAM notifications and measurable access-removal SLAs.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7.1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security perimeters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SecureFusion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operates as a fully remote organization and does not maintain company-owned or leased office facilities within the defined ISMS scope. Physical security of cloud data centers is managed by the relevant cloud service providers.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Cloud provider compliance reports; contractual assurances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Reassess applicability if </w:t>
            </w:r>
            <w:proofErr w:type="spellStart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SecureFusion</w:t>
            </w:r>
            <w:proofErr w:type="spellEnd"/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establishes physical offices or dedicated facilities.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entry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company-operated physical facilities are included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within the ISMS scope. Physical entry controls for AWS and Azure facilities are the responsibility of the cloud service providers.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Cloud provider assurance reports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Reassess if the organizational scope changes to include company-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controlled facilities.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7.7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Clear desk and clear screen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Remote employees process customer PII and business information from home and other locations, creating risks of unauthorized visual or physical access.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R2, R5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 Use Policy; Remote Working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IT Security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acknowledgements; awareness training; endpoint configuration records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Add clear desk and clear screen requirements to remote-work training and periodic compliance checks.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 rights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Privileged access to AWS,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Azure, Microsoft 365, databases, security systems, and production environments could cause significant impact if misused or compromised.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R1, R2, R4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 Manageme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IAM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Privileged account inventory;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access reviews; PAM logs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Implement stronger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privileged access controls, just-in-time access, and enhanced monitoring.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8.7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against malware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Global remote endpoints and cloud-connected systems are exposed to malware, ransomware, and malicious software threats.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R1, R3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Endpoint Security Policy; Malware Protection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Endpoint Security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EDR dashboards; malware alerts; endpoint compliance reports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Improve EDR coverage for all managed endpoints and formalize exception management.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8.13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backup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business informat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ion, customer data, and operational systems require recoverable backups to address ransomware, accidental deletion, and service disruption.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R1, R4, R8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Backup and Recovery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Infrastructure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Backup reports; restoration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 results; backup configurations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Increase documented </w:t>
            </w: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restoration testing and validate recovery against defined RTO/RPO requirements.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8.22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Segregation of networks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segmentation is necessary to reduce lateral movement and protect sensitive environments, including systems handling PII and PCI-related data.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R1, R2, R4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Security Policy; Network Segmentation Standard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Security Manager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Network diagrams; firewall rules; segmentation test results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segmentation between corporate, production, administrative, and PCI-related environments.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8.24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Use of cryptography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PCI DSS obligations and global processing of customer PII require appropriate encryption for data in transit and at rest.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R2, R5, R7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Cryptography Policy; Key Management Procedure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Cloud Security Lead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 configurations; key management records; TLS configurations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cryptographic requirements across all cloud services and periodically review algorithms and key lifecycles.</w:t>
            </w:r>
          </w:p>
        </w:tc>
      </w:tr>
    </w:tbl>
    <w:p w:rsidR="006C027E" w:rsidRPr="006C027E" w:rsidRDefault="006C027E" w:rsidP="006C0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27E">
        <w:rPr>
          <w:rFonts w:ascii="Times New Roman" w:eastAsia="Times New Roman" w:hAnsi="Times New Roman" w:cs="Times New Roman"/>
          <w:b/>
          <w:bCs/>
          <w:sz w:val="36"/>
          <w:szCs w:val="36"/>
        </w:rPr>
        <w:t>Control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936"/>
      </w:tblGrid>
      <w:tr w:rsidR="006C027E" w:rsidRPr="006C027E" w:rsidTr="006C0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Annex A Theme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Controls Included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Organizational Controls (5)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People Controls (6)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Controls (7)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Technological Controls (8)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Controls Reviewed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:rsidR="006C027E" w:rsidRPr="006C027E" w:rsidRDefault="006C027E" w:rsidP="006C0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27E">
        <w:rPr>
          <w:rFonts w:ascii="Times New Roman" w:eastAsia="Times New Roman" w:hAnsi="Times New Roman" w:cs="Times New Roman"/>
          <w:b/>
          <w:bCs/>
          <w:sz w:val="36"/>
          <w:szCs w:val="36"/>
        </w:rPr>
        <w:t>Applicability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929"/>
      </w:tblGrid>
      <w:tr w:rsidR="006C027E" w:rsidRPr="006C027E" w:rsidTr="006C0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:rsidR="006C027E" w:rsidRPr="006C027E" w:rsidRDefault="006C027E" w:rsidP="006C0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27E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Status Summary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29"/>
      </w:tblGrid>
      <w:tr w:rsidR="006C027E" w:rsidRPr="006C027E" w:rsidTr="006C0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C027E" w:rsidRPr="006C027E" w:rsidTr="006C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6C027E" w:rsidRPr="006C027E" w:rsidRDefault="006C027E" w:rsidP="006C02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2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9A24E7" w:rsidRDefault="009A24E7"/>
    <w:sectPr w:rsidR="009A2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379"/>
    <w:rsid w:val="005D2379"/>
    <w:rsid w:val="006C027E"/>
    <w:rsid w:val="009A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C233"/>
  <w15:chartTrackingRefBased/>
  <w15:docId w15:val="{A521C2E1-AEEF-4033-AA5D-547ACEAC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0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02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0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0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3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1412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2</cp:revision>
  <dcterms:created xsi:type="dcterms:W3CDTF">2026-07-21T06:23:00Z</dcterms:created>
  <dcterms:modified xsi:type="dcterms:W3CDTF">2026-07-21T06:23:00Z</dcterms:modified>
</cp:coreProperties>
</file>