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344" w:rsidRPr="00DE1344" w:rsidRDefault="00DE1344" w:rsidP="00DE134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1344">
        <w:rPr>
          <w:rFonts w:ascii="Times New Roman" w:eastAsia="Times New Roman" w:hAnsi="Times New Roman" w:cs="Times New Roman"/>
          <w:b/>
          <w:bCs/>
          <w:kern w:val="36"/>
          <w:sz w:val="48"/>
          <w:szCs w:val="48"/>
        </w:rPr>
        <w:t>INTERNAL AUDIT REPORT</w:t>
      </w:r>
    </w:p>
    <w:p w:rsidR="00DE1344" w:rsidRPr="00DE1344" w:rsidRDefault="00DE1344" w:rsidP="00DE1344">
      <w:pPr>
        <w:spacing w:before="100" w:beforeAutospacing="1" w:after="100" w:afterAutospacing="1" w:line="240" w:lineRule="auto"/>
        <w:outlineLvl w:val="1"/>
        <w:rPr>
          <w:rFonts w:ascii="Times New Roman" w:eastAsia="Times New Roman" w:hAnsi="Times New Roman" w:cs="Times New Roman"/>
          <w:b/>
          <w:bCs/>
          <w:sz w:val="36"/>
          <w:szCs w:val="36"/>
        </w:rPr>
      </w:pPr>
      <w:r w:rsidRPr="00DE1344">
        <w:rPr>
          <w:rFonts w:ascii="Times New Roman" w:eastAsia="Times New Roman" w:hAnsi="Times New Roman" w:cs="Times New Roman"/>
          <w:b/>
          <w:bCs/>
          <w:sz w:val="36"/>
          <w:szCs w:val="36"/>
        </w:rPr>
        <w:t>Access Management &amp; Vendor Management</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b/>
          <w:bCs/>
          <w:sz w:val="24"/>
          <w:szCs w:val="24"/>
        </w:rPr>
        <w:t>Organization:</w:t>
      </w:r>
      <w:r w:rsidRPr="00DE1344">
        <w:rPr>
          <w:rFonts w:ascii="Times New Roman" w:eastAsia="Times New Roman" w:hAnsi="Times New Roman" w:cs="Times New Roman"/>
          <w:sz w:val="24"/>
          <w:szCs w:val="24"/>
        </w:rPr>
        <w:t xml:space="preserve"> </w:t>
      </w:r>
      <w:proofErr w:type="spellStart"/>
      <w:r w:rsidRPr="00DE1344">
        <w:rPr>
          <w:rFonts w:ascii="Times New Roman" w:eastAsia="Times New Roman" w:hAnsi="Times New Roman" w:cs="Times New Roman"/>
          <w:sz w:val="24"/>
          <w:szCs w:val="24"/>
        </w:rPr>
        <w:t>VertexPay</w:t>
      </w:r>
      <w:proofErr w:type="spellEnd"/>
      <w:r w:rsidRPr="00DE1344">
        <w:rPr>
          <w:rFonts w:ascii="Times New Roman" w:eastAsia="Times New Roman" w:hAnsi="Times New Roman" w:cs="Times New Roman"/>
          <w:sz w:val="24"/>
          <w:szCs w:val="24"/>
        </w:rPr>
        <w:t xml:space="preserve"> Solutions</w:t>
      </w:r>
      <w:r w:rsidRPr="00DE1344">
        <w:rPr>
          <w:rFonts w:ascii="Times New Roman" w:eastAsia="Times New Roman" w:hAnsi="Times New Roman" w:cs="Times New Roman"/>
          <w:sz w:val="24"/>
          <w:szCs w:val="24"/>
        </w:rPr>
        <w:br/>
      </w:r>
      <w:r w:rsidRPr="00DE1344">
        <w:rPr>
          <w:rFonts w:ascii="Times New Roman" w:eastAsia="Times New Roman" w:hAnsi="Times New Roman" w:cs="Times New Roman"/>
          <w:b/>
          <w:bCs/>
          <w:sz w:val="24"/>
          <w:szCs w:val="24"/>
        </w:rPr>
        <w:t>Audit Period:</w:t>
      </w:r>
      <w:r w:rsidRPr="00DE1344">
        <w:rPr>
          <w:rFonts w:ascii="Times New Roman" w:eastAsia="Times New Roman" w:hAnsi="Times New Roman" w:cs="Times New Roman"/>
          <w:sz w:val="24"/>
          <w:szCs w:val="24"/>
        </w:rPr>
        <w:t xml:space="preserve"> 1 January 2026 – 30 June 2026</w:t>
      </w:r>
      <w:r w:rsidRPr="00DE1344">
        <w:rPr>
          <w:rFonts w:ascii="Times New Roman" w:eastAsia="Times New Roman" w:hAnsi="Times New Roman" w:cs="Times New Roman"/>
          <w:sz w:val="24"/>
          <w:szCs w:val="24"/>
        </w:rPr>
        <w:br/>
      </w:r>
      <w:r w:rsidRPr="00DE1344">
        <w:rPr>
          <w:rFonts w:ascii="Times New Roman" w:eastAsia="Times New Roman" w:hAnsi="Times New Roman" w:cs="Times New Roman"/>
          <w:b/>
          <w:bCs/>
          <w:sz w:val="24"/>
          <w:szCs w:val="24"/>
        </w:rPr>
        <w:t>Report Date:</w:t>
      </w:r>
      <w:r w:rsidRPr="00DE1344">
        <w:rPr>
          <w:rFonts w:ascii="Times New Roman" w:eastAsia="Times New Roman" w:hAnsi="Times New Roman" w:cs="Times New Roman"/>
          <w:sz w:val="24"/>
          <w:szCs w:val="24"/>
        </w:rPr>
        <w:t xml:space="preserve"> 21 July 2026</w:t>
      </w:r>
      <w:r w:rsidRPr="00DE1344">
        <w:rPr>
          <w:rFonts w:ascii="Times New Roman" w:eastAsia="Times New Roman" w:hAnsi="Times New Roman" w:cs="Times New Roman"/>
          <w:sz w:val="24"/>
          <w:szCs w:val="24"/>
        </w:rPr>
        <w:br/>
      </w:r>
      <w:r w:rsidRPr="00DE1344">
        <w:rPr>
          <w:rFonts w:ascii="Times New Roman" w:eastAsia="Times New Roman" w:hAnsi="Times New Roman" w:cs="Times New Roman"/>
          <w:b/>
          <w:bCs/>
          <w:sz w:val="24"/>
          <w:szCs w:val="24"/>
        </w:rPr>
        <w:t>Auditor:</w:t>
      </w:r>
      <w:r w:rsidRPr="00DE1344">
        <w:rPr>
          <w:rFonts w:ascii="Times New Roman" w:eastAsia="Times New Roman" w:hAnsi="Times New Roman" w:cs="Times New Roman"/>
          <w:sz w:val="24"/>
          <w:szCs w:val="24"/>
        </w:rPr>
        <w:t xml:space="preserve"> Internal Audit Team</w:t>
      </w:r>
    </w:p>
    <w:p w:rsidR="00DE1344" w:rsidRPr="00DE1344" w:rsidRDefault="00DE1344" w:rsidP="00DE1344">
      <w:pPr>
        <w:spacing w:after="0" w:line="240" w:lineRule="auto"/>
        <w:rPr>
          <w:rFonts w:ascii="Times New Roman" w:eastAsia="Times New Roman" w:hAnsi="Times New Roman" w:cs="Times New Roman"/>
          <w:b/>
          <w:bCs/>
          <w:sz w:val="36"/>
          <w:szCs w:val="36"/>
        </w:rPr>
      </w:pPr>
      <w:r w:rsidRPr="00DE1344">
        <w:rPr>
          <w:rFonts w:ascii="Times New Roman" w:eastAsia="Times New Roman" w:hAnsi="Times New Roman" w:cs="Times New Roman"/>
          <w:b/>
          <w:bCs/>
          <w:sz w:val="36"/>
          <w:szCs w:val="36"/>
        </w:rPr>
        <w:t>1. Executive Summary</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 xml:space="preserve">An internal audit was conducted to assess the effectiveness of Access Management and Vendor Management controls at </w:t>
      </w:r>
      <w:proofErr w:type="spellStart"/>
      <w:r w:rsidRPr="00DE1344">
        <w:rPr>
          <w:rFonts w:ascii="Times New Roman" w:eastAsia="Times New Roman" w:hAnsi="Times New Roman" w:cs="Times New Roman"/>
          <w:sz w:val="24"/>
          <w:szCs w:val="24"/>
        </w:rPr>
        <w:t>VertexPay</w:t>
      </w:r>
      <w:proofErr w:type="spellEnd"/>
      <w:r w:rsidRPr="00DE1344">
        <w:rPr>
          <w:rFonts w:ascii="Times New Roman" w:eastAsia="Times New Roman" w:hAnsi="Times New Roman" w:cs="Times New Roman"/>
          <w:sz w:val="24"/>
          <w:szCs w:val="24"/>
        </w:rPr>
        <w:t xml:space="preserve"> Solutions. The audit covered identity and access management across Azure AD, AWS, and Microsoft 365, as well as the governance of third-party vendors with access to company systems, customer PII, and payment-related services.</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The audit identified control weaknesses in the execution of periodic access reviews and ongoing vendor risk management. The Q2 access review was not performed, and vendor security assessments were performed during onboarding without evidence of ongoing periodic reassessment. These weaknesses increase the risk that inappropriate user access or changes in third-party risk may remain unidentified.</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 xml:space="preserve">Overall, the control environment is assessed as </w:t>
      </w:r>
      <w:r>
        <w:rPr>
          <w:rFonts w:ascii="Times New Roman" w:eastAsia="Times New Roman" w:hAnsi="Times New Roman" w:cs="Times New Roman"/>
          <w:b/>
          <w:bCs/>
          <w:sz w:val="24"/>
          <w:szCs w:val="24"/>
        </w:rPr>
        <w:t xml:space="preserve">PARTIALLY EFFECTIVE </w:t>
      </w:r>
      <w:r w:rsidRPr="00DE1344">
        <w:rPr>
          <w:rFonts w:ascii="Times New Roman" w:eastAsia="Times New Roman" w:hAnsi="Times New Roman" w:cs="Times New Roman"/>
          <w:b/>
          <w:bCs/>
          <w:sz w:val="24"/>
          <w:szCs w:val="24"/>
        </w:rPr>
        <w:t>IMPROVEMENT REQUIRED</w:t>
      </w:r>
      <w:r w:rsidRPr="00DE1344">
        <w:rPr>
          <w:rFonts w:ascii="Times New Roman" w:eastAsia="Times New Roman" w:hAnsi="Times New Roman" w:cs="Times New Roman"/>
          <w:sz w:val="24"/>
          <w:szCs w:val="24"/>
        </w:rPr>
        <w:t>. Core policies and onboarding processes exist, but certain monitoring and periodic review controls are not operating consistently as designed.</w:t>
      </w:r>
    </w:p>
    <w:p w:rsidR="00DE1344" w:rsidRPr="00DE1344" w:rsidRDefault="00DE1344" w:rsidP="00DE1344">
      <w:pPr>
        <w:spacing w:after="0" w:line="240" w:lineRule="auto"/>
        <w:rPr>
          <w:rFonts w:ascii="Times New Roman" w:eastAsia="Times New Roman" w:hAnsi="Times New Roman" w:cs="Times New Roman"/>
          <w:sz w:val="24"/>
          <w:szCs w:val="24"/>
        </w:rPr>
      </w:pPr>
    </w:p>
    <w:p w:rsidR="00DE1344" w:rsidRPr="00DE1344" w:rsidRDefault="00DE1344" w:rsidP="00DE1344">
      <w:pPr>
        <w:spacing w:before="100" w:beforeAutospacing="1" w:after="100" w:afterAutospacing="1" w:line="240" w:lineRule="auto"/>
        <w:outlineLvl w:val="1"/>
        <w:rPr>
          <w:rFonts w:ascii="Times New Roman" w:eastAsia="Times New Roman" w:hAnsi="Times New Roman" w:cs="Times New Roman"/>
          <w:b/>
          <w:bCs/>
          <w:sz w:val="36"/>
          <w:szCs w:val="36"/>
        </w:rPr>
      </w:pPr>
      <w:r w:rsidRPr="00DE1344">
        <w:rPr>
          <w:rFonts w:ascii="Times New Roman" w:eastAsia="Times New Roman" w:hAnsi="Times New Roman" w:cs="Times New Roman"/>
          <w:b/>
          <w:bCs/>
          <w:sz w:val="36"/>
          <w:szCs w:val="36"/>
        </w:rPr>
        <w:t>2. Audit Scope</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The audit covered the following areas:</w:t>
      </w:r>
    </w:p>
    <w:p w:rsidR="00DE1344" w:rsidRPr="00DE1344" w:rsidRDefault="00DE1344" w:rsidP="00DE1344">
      <w:pPr>
        <w:spacing w:before="100" w:beforeAutospacing="1" w:after="100" w:afterAutospacing="1" w:line="240" w:lineRule="auto"/>
        <w:outlineLvl w:val="2"/>
        <w:rPr>
          <w:rFonts w:ascii="Times New Roman" w:eastAsia="Times New Roman" w:hAnsi="Times New Roman" w:cs="Times New Roman"/>
          <w:b/>
          <w:bCs/>
          <w:sz w:val="27"/>
          <w:szCs w:val="27"/>
        </w:rPr>
      </w:pPr>
      <w:r w:rsidRPr="00DE1344">
        <w:rPr>
          <w:rFonts w:ascii="Times New Roman" w:eastAsia="Times New Roman" w:hAnsi="Times New Roman" w:cs="Times New Roman"/>
          <w:b/>
          <w:bCs/>
          <w:sz w:val="27"/>
          <w:szCs w:val="27"/>
        </w:rPr>
        <w:t>Access Management</w:t>
      </w:r>
    </w:p>
    <w:p w:rsidR="00DE1344" w:rsidRPr="00DE1344" w:rsidRDefault="00DE1344" w:rsidP="00DE13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User provisioning</w:t>
      </w:r>
    </w:p>
    <w:p w:rsidR="00DE1344" w:rsidRPr="00DE1344" w:rsidRDefault="00DE1344" w:rsidP="00DE13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 xml:space="preserve">User </w:t>
      </w:r>
      <w:proofErr w:type="spellStart"/>
      <w:r w:rsidRPr="00DE1344">
        <w:rPr>
          <w:rFonts w:ascii="Times New Roman" w:eastAsia="Times New Roman" w:hAnsi="Times New Roman" w:cs="Times New Roman"/>
          <w:sz w:val="24"/>
          <w:szCs w:val="24"/>
        </w:rPr>
        <w:t>deprovisioning</w:t>
      </w:r>
      <w:proofErr w:type="spellEnd"/>
    </w:p>
    <w:p w:rsidR="00DE1344" w:rsidRPr="00DE1344" w:rsidRDefault="00DE1344" w:rsidP="00DE13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Joiner, mover, and leaver processes</w:t>
      </w:r>
    </w:p>
    <w:p w:rsidR="00DE1344" w:rsidRPr="00DE1344" w:rsidRDefault="00DE1344" w:rsidP="00DE13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Periodic user access reviews</w:t>
      </w:r>
    </w:p>
    <w:p w:rsidR="00DE1344" w:rsidRPr="00DE1344" w:rsidRDefault="00DE1344" w:rsidP="00DE13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Privileged access management</w:t>
      </w:r>
    </w:p>
    <w:p w:rsidR="00DE1344" w:rsidRPr="00DE1344" w:rsidRDefault="00DE1344" w:rsidP="00DE13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Access review exception remediation</w:t>
      </w:r>
    </w:p>
    <w:p w:rsidR="00DE1344" w:rsidRPr="00DE1344" w:rsidRDefault="00DE1344" w:rsidP="00DE13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 xml:space="preserve">Azure AD / Microsoft </w:t>
      </w:r>
      <w:proofErr w:type="spellStart"/>
      <w:r w:rsidRPr="00DE1344">
        <w:rPr>
          <w:rFonts w:ascii="Times New Roman" w:eastAsia="Times New Roman" w:hAnsi="Times New Roman" w:cs="Times New Roman"/>
          <w:sz w:val="24"/>
          <w:szCs w:val="24"/>
        </w:rPr>
        <w:t>Entra</w:t>
      </w:r>
      <w:proofErr w:type="spellEnd"/>
      <w:r w:rsidRPr="00DE1344">
        <w:rPr>
          <w:rFonts w:ascii="Times New Roman" w:eastAsia="Times New Roman" w:hAnsi="Times New Roman" w:cs="Times New Roman"/>
          <w:sz w:val="24"/>
          <w:szCs w:val="24"/>
        </w:rPr>
        <w:t xml:space="preserve"> ID</w:t>
      </w:r>
    </w:p>
    <w:p w:rsidR="00DE1344" w:rsidRPr="00DE1344" w:rsidRDefault="00DE1344" w:rsidP="00DE13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AWS access</w:t>
      </w:r>
    </w:p>
    <w:p w:rsidR="00DE1344" w:rsidRPr="00DE1344" w:rsidRDefault="00DE1344" w:rsidP="00DE13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Microsoft 365 administrative access</w:t>
      </w:r>
    </w:p>
    <w:p w:rsidR="00DE1344" w:rsidRPr="00DE1344" w:rsidRDefault="00DE1344" w:rsidP="00DE1344">
      <w:pPr>
        <w:spacing w:before="100" w:beforeAutospacing="1" w:after="100" w:afterAutospacing="1" w:line="240" w:lineRule="auto"/>
        <w:outlineLvl w:val="2"/>
        <w:rPr>
          <w:rFonts w:ascii="Times New Roman" w:eastAsia="Times New Roman" w:hAnsi="Times New Roman" w:cs="Times New Roman"/>
          <w:b/>
          <w:bCs/>
          <w:sz w:val="27"/>
          <w:szCs w:val="27"/>
        </w:rPr>
      </w:pPr>
      <w:r w:rsidRPr="00DE1344">
        <w:rPr>
          <w:rFonts w:ascii="Times New Roman" w:eastAsia="Times New Roman" w:hAnsi="Times New Roman" w:cs="Times New Roman"/>
          <w:b/>
          <w:bCs/>
          <w:sz w:val="27"/>
          <w:szCs w:val="27"/>
        </w:rPr>
        <w:t>Vendor Management</w:t>
      </w:r>
    </w:p>
    <w:p w:rsidR="00DE1344" w:rsidRPr="00DE1344" w:rsidRDefault="00DE1344" w:rsidP="00DE13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lastRenderedPageBreak/>
        <w:t>Vendor onboarding and due diligence</w:t>
      </w:r>
    </w:p>
    <w:p w:rsidR="00DE1344" w:rsidRPr="00DE1344" w:rsidRDefault="00DE1344" w:rsidP="00DE13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Vendor risk classification</w:t>
      </w:r>
    </w:p>
    <w:p w:rsidR="00DE1344" w:rsidRPr="00DE1344" w:rsidRDefault="00DE1344" w:rsidP="00DE13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Security assessments</w:t>
      </w:r>
    </w:p>
    <w:p w:rsidR="00DE1344" w:rsidRPr="00DE1344" w:rsidRDefault="00DE1344" w:rsidP="00DE13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Contractual security requirements</w:t>
      </w:r>
    </w:p>
    <w:p w:rsidR="00DE1344" w:rsidRPr="00DE1344" w:rsidRDefault="00DE1344" w:rsidP="00DE13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Ongoing vendor monitoring</w:t>
      </w:r>
    </w:p>
    <w:p w:rsidR="00DE1344" w:rsidRPr="00DE1344" w:rsidRDefault="00DE1344" w:rsidP="00DE13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Periodic vendor reassessment</w:t>
      </w:r>
    </w:p>
    <w:p w:rsidR="00DE1344" w:rsidRPr="00DE1344" w:rsidRDefault="00DE1344" w:rsidP="00DE13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Critical third-party payment processor oversight</w:t>
      </w:r>
    </w:p>
    <w:p w:rsidR="00DE1344" w:rsidRPr="00DE1344" w:rsidRDefault="00DE1344" w:rsidP="00DE13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Vendors with access to customer PII or company systems</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b/>
          <w:bCs/>
          <w:sz w:val="24"/>
          <w:szCs w:val="24"/>
        </w:rPr>
        <w:t>Audit Period:</w:t>
      </w:r>
      <w:r w:rsidRPr="00DE1344">
        <w:rPr>
          <w:rFonts w:ascii="Times New Roman" w:eastAsia="Times New Roman" w:hAnsi="Times New Roman" w:cs="Times New Roman"/>
          <w:sz w:val="24"/>
          <w:szCs w:val="24"/>
        </w:rPr>
        <w:t xml:space="preserve"> 1 January 2026 – 30 June 2026</w:t>
      </w:r>
    </w:p>
    <w:p w:rsidR="00DE1344" w:rsidRPr="00DE1344" w:rsidRDefault="00DE1344" w:rsidP="00DE1344">
      <w:pPr>
        <w:spacing w:after="0" w:line="240" w:lineRule="auto"/>
        <w:rPr>
          <w:rFonts w:ascii="Times New Roman" w:eastAsia="Times New Roman" w:hAnsi="Times New Roman" w:cs="Times New Roman"/>
          <w:sz w:val="24"/>
          <w:szCs w:val="24"/>
        </w:rPr>
      </w:pPr>
    </w:p>
    <w:p w:rsidR="00DE1344" w:rsidRPr="00DE1344" w:rsidRDefault="00DE1344" w:rsidP="00DE1344">
      <w:pPr>
        <w:spacing w:before="100" w:beforeAutospacing="1" w:after="100" w:afterAutospacing="1" w:line="240" w:lineRule="auto"/>
        <w:outlineLvl w:val="1"/>
        <w:rPr>
          <w:rFonts w:ascii="Times New Roman" w:eastAsia="Times New Roman" w:hAnsi="Times New Roman" w:cs="Times New Roman"/>
          <w:b/>
          <w:bCs/>
          <w:sz w:val="36"/>
          <w:szCs w:val="36"/>
        </w:rPr>
      </w:pPr>
      <w:r w:rsidRPr="00DE1344">
        <w:rPr>
          <w:rFonts w:ascii="Times New Roman" w:eastAsia="Times New Roman" w:hAnsi="Times New Roman" w:cs="Times New Roman"/>
          <w:b/>
          <w:bCs/>
          <w:sz w:val="36"/>
          <w:szCs w:val="36"/>
        </w:rPr>
        <w:t>3. Audit Objectives</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The audit objectives were to determine whether:</w:t>
      </w:r>
    </w:p>
    <w:p w:rsidR="00DE1344" w:rsidRPr="00DE1344" w:rsidRDefault="00DE1344" w:rsidP="00DE13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User access is appropriately approved and periodically reviewed.</w:t>
      </w:r>
    </w:p>
    <w:p w:rsidR="00DE1344" w:rsidRPr="00DE1344" w:rsidRDefault="00DE1344" w:rsidP="00DE13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Access is removed appropriately when employees change roles or leave the organization.</w:t>
      </w:r>
    </w:p>
    <w:p w:rsidR="00DE1344" w:rsidRPr="00DE1344" w:rsidRDefault="00DE1344" w:rsidP="00DE13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Privileged access is appropriately controlled and monitored.</w:t>
      </w:r>
    </w:p>
    <w:p w:rsidR="00DE1344" w:rsidRPr="00DE1344" w:rsidRDefault="00DE1344" w:rsidP="00DE13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Vendors are appropriately assessed and risk-classified before onboarding.</w:t>
      </w:r>
    </w:p>
    <w:p w:rsidR="00DE1344" w:rsidRPr="00DE1344" w:rsidRDefault="00DE1344" w:rsidP="00DE13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Vendor security risks are monitored throughout the vendor relationship.</w:t>
      </w:r>
    </w:p>
    <w:p w:rsidR="00DE1344" w:rsidRPr="00DE1344" w:rsidRDefault="00DE1344" w:rsidP="00DE13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High-risk and critical vendors are periodically reassessed.</w:t>
      </w:r>
    </w:p>
    <w:p w:rsidR="00DE1344" w:rsidRPr="00DE1344" w:rsidRDefault="00DE1344" w:rsidP="00DE13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Evidence is retained to demonstrate the operation of key controls.</w:t>
      </w:r>
    </w:p>
    <w:p w:rsidR="00DE1344" w:rsidRPr="00DE1344" w:rsidRDefault="00DE1344" w:rsidP="00DE1344">
      <w:pPr>
        <w:spacing w:after="0" w:line="240" w:lineRule="auto"/>
        <w:rPr>
          <w:rFonts w:ascii="Times New Roman" w:eastAsia="Times New Roman" w:hAnsi="Times New Roman" w:cs="Times New Roman"/>
          <w:sz w:val="24"/>
          <w:szCs w:val="24"/>
        </w:rPr>
      </w:pPr>
    </w:p>
    <w:p w:rsidR="00DE1344" w:rsidRPr="00DE1344" w:rsidRDefault="00DE1344" w:rsidP="00DE1344">
      <w:pPr>
        <w:spacing w:before="100" w:beforeAutospacing="1" w:after="100" w:afterAutospacing="1" w:line="240" w:lineRule="auto"/>
        <w:outlineLvl w:val="1"/>
        <w:rPr>
          <w:rFonts w:ascii="Times New Roman" w:eastAsia="Times New Roman" w:hAnsi="Times New Roman" w:cs="Times New Roman"/>
          <w:b/>
          <w:bCs/>
          <w:sz w:val="36"/>
          <w:szCs w:val="36"/>
        </w:rPr>
      </w:pPr>
      <w:r w:rsidRPr="00DE1344">
        <w:rPr>
          <w:rFonts w:ascii="Times New Roman" w:eastAsia="Times New Roman" w:hAnsi="Times New Roman" w:cs="Times New Roman"/>
          <w:b/>
          <w:bCs/>
          <w:sz w:val="36"/>
          <w:szCs w:val="36"/>
        </w:rPr>
        <w:t>4. Audit Criteria</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The audit was performed against the following criteria:</w:t>
      </w:r>
    </w:p>
    <w:p w:rsidR="00DE1344" w:rsidRPr="00DE1344" w:rsidRDefault="00DE1344" w:rsidP="00DE1344">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E1344">
        <w:rPr>
          <w:rFonts w:ascii="Times New Roman" w:eastAsia="Times New Roman" w:hAnsi="Times New Roman" w:cs="Times New Roman"/>
          <w:sz w:val="24"/>
          <w:szCs w:val="24"/>
        </w:rPr>
        <w:t>VertexPay</w:t>
      </w:r>
      <w:proofErr w:type="spellEnd"/>
      <w:r w:rsidRPr="00DE1344">
        <w:rPr>
          <w:rFonts w:ascii="Times New Roman" w:eastAsia="Times New Roman" w:hAnsi="Times New Roman" w:cs="Times New Roman"/>
          <w:sz w:val="24"/>
          <w:szCs w:val="24"/>
        </w:rPr>
        <w:t xml:space="preserve"> Access Control Policy</w:t>
      </w:r>
    </w:p>
    <w:p w:rsidR="00DE1344" w:rsidRPr="00DE1344" w:rsidRDefault="00DE1344" w:rsidP="00DE13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User Access Management Procedure</w:t>
      </w:r>
    </w:p>
    <w:p w:rsidR="00DE1344" w:rsidRPr="00DE1344" w:rsidRDefault="00DE1344" w:rsidP="00DE13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Privileged Access Management Procedure</w:t>
      </w:r>
    </w:p>
    <w:p w:rsidR="00DE1344" w:rsidRPr="00DE1344" w:rsidRDefault="00DE1344" w:rsidP="00DE13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Joiner-Mover-Leaver Procedure</w:t>
      </w:r>
    </w:p>
    <w:p w:rsidR="00DE1344" w:rsidRPr="00DE1344" w:rsidRDefault="00DE1344" w:rsidP="00DE13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Third-Party Risk Management Policy</w:t>
      </w:r>
    </w:p>
    <w:p w:rsidR="00DE1344" w:rsidRPr="00DE1344" w:rsidRDefault="00DE1344" w:rsidP="00DE13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Vendor Management Procedure</w:t>
      </w:r>
    </w:p>
    <w:p w:rsidR="00DE1344" w:rsidRPr="00DE1344" w:rsidRDefault="00DE1344" w:rsidP="00DE13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Supplier Security Requirements</w:t>
      </w:r>
    </w:p>
    <w:p w:rsidR="00DE1344" w:rsidRPr="00DE1344" w:rsidRDefault="00DE1344" w:rsidP="00DE13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ISO/IEC 27001:2022 requirements relating to access control and supplier relationships</w:t>
      </w:r>
    </w:p>
    <w:p w:rsidR="00DE1344" w:rsidRPr="00DE1344" w:rsidRDefault="00DE1344" w:rsidP="00DE13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Applicable PCI DSS requirements</w:t>
      </w:r>
    </w:p>
    <w:p w:rsidR="00DE1344" w:rsidRPr="00DE1344" w:rsidRDefault="00DE1344" w:rsidP="00DE13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 xml:space="preserve">Internal control requirements established by </w:t>
      </w:r>
      <w:proofErr w:type="spellStart"/>
      <w:r w:rsidRPr="00DE1344">
        <w:rPr>
          <w:rFonts w:ascii="Times New Roman" w:eastAsia="Times New Roman" w:hAnsi="Times New Roman" w:cs="Times New Roman"/>
          <w:sz w:val="24"/>
          <w:szCs w:val="24"/>
        </w:rPr>
        <w:t>VertexPay</w:t>
      </w:r>
      <w:proofErr w:type="spellEnd"/>
      <w:r w:rsidRPr="00DE1344">
        <w:rPr>
          <w:rFonts w:ascii="Times New Roman" w:eastAsia="Times New Roman" w:hAnsi="Times New Roman" w:cs="Times New Roman"/>
          <w:sz w:val="24"/>
          <w:szCs w:val="24"/>
        </w:rPr>
        <w:t xml:space="preserve"> Solutions</w:t>
      </w:r>
    </w:p>
    <w:p w:rsidR="00DE1344" w:rsidRPr="00DE1344" w:rsidRDefault="00DE1344" w:rsidP="00DE1344">
      <w:pPr>
        <w:spacing w:after="0" w:line="240" w:lineRule="auto"/>
        <w:rPr>
          <w:rFonts w:ascii="Times New Roman" w:eastAsia="Times New Roman" w:hAnsi="Times New Roman" w:cs="Times New Roman"/>
          <w:sz w:val="24"/>
          <w:szCs w:val="24"/>
        </w:rPr>
      </w:pPr>
    </w:p>
    <w:p w:rsidR="00DE1344" w:rsidRPr="00DE1344" w:rsidRDefault="00DE1344" w:rsidP="00DE1344">
      <w:pPr>
        <w:spacing w:before="100" w:beforeAutospacing="1" w:after="100" w:afterAutospacing="1" w:line="240" w:lineRule="auto"/>
        <w:outlineLvl w:val="1"/>
        <w:rPr>
          <w:rFonts w:ascii="Times New Roman" w:eastAsia="Times New Roman" w:hAnsi="Times New Roman" w:cs="Times New Roman"/>
          <w:b/>
          <w:bCs/>
          <w:sz w:val="36"/>
          <w:szCs w:val="36"/>
        </w:rPr>
      </w:pPr>
      <w:r w:rsidRPr="00DE1344">
        <w:rPr>
          <w:rFonts w:ascii="Times New Roman" w:eastAsia="Times New Roman" w:hAnsi="Times New Roman" w:cs="Times New Roman"/>
          <w:b/>
          <w:bCs/>
          <w:sz w:val="36"/>
          <w:szCs w:val="36"/>
        </w:rPr>
        <w:t>5. Audit Methodology</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lastRenderedPageBreak/>
        <w:t>The audit used a risk-based internal audit methodology consisting of:</w:t>
      </w:r>
    </w:p>
    <w:p w:rsidR="00DE1344" w:rsidRPr="00DE1344" w:rsidRDefault="00DE1344" w:rsidP="00DE13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Review of relevant policies and procedures</w:t>
      </w:r>
    </w:p>
    <w:p w:rsidR="00DE1344" w:rsidRPr="00DE1344" w:rsidRDefault="00DE1344" w:rsidP="00DE13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Inspection of access management records</w:t>
      </w:r>
    </w:p>
    <w:p w:rsidR="00DE1344" w:rsidRPr="00DE1344" w:rsidRDefault="00DE1344" w:rsidP="00DE13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Inspection of vendor risk management records</w:t>
      </w:r>
    </w:p>
    <w:p w:rsidR="00DE1344" w:rsidRPr="00DE1344" w:rsidRDefault="00DE1344" w:rsidP="00DE13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Review of Q1 and Q2 access review evidence</w:t>
      </w:r>
    </w:p>
    <w:p w:rsidR="00DE1344" w:rsidRPr="00DE1344" w:rsidRDefault="00DE1344" w:rsidP="00DE13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Review of vendor onboarding and assessment records</w:t>
      </w:r>
    </w:p>
    <w:p w:rsidR="00DE1344" w:rsidRPr="00DE1344" w:rsidRDefault="00DE1344" w:rsidP="00DE13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Sample-based testing of access management controls</w:t>
      </w:r>
    </w:p>
    <w:p w:rsidR="00DE1344" w:rsidRPr="00DE1344" w:rsidRDefault="00DE1344" w:rsidP="00DE13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Review of privileged access listings</w:t>
      </w:r>
    </w:p>
    <w:p w:rsidR="00DE1344" w:rsidRPr="00DE1344" w:rsidRDefault="00DE1344" w:rsidP="00DE13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Interviews with the IT Director and Head of Vendor Risk</w:t>
      </w:r>
    </w:p>
    <w:p w:rsidR="00DE1344" w:rsidRPr="00DE1344" w:rsidRDefault="00DE1344" w:rsidP="00DE13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Examination of remediation and closure evidence</w:t>
      </w:r>
    </w:p>
    <w:p w:rsidR="00DE1344" w:rsidRPr="00DE1344" w:rsidRDefault="00DE1344" w:rsidP="00DE13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Comparison of actual control operation against defined criteria</w:t>
      </w:r>
    </w:p>
    <w:p w:rsidR="00DE1344" w:rsidRPr="00DE1344" w:rsidRDefault="00DE1344" w:rsidP="00DE1344">
      <w:pPr>
        <w:spacing w:after="0" w:line="240" w:lineRule="auto"/>
        <w:rPr>
          <w:rFonts w:ascii="Times New Roman" w:eastAsia="Times New Roman" w:hAnsi="Times New Roman" w:cs="Times New Roman"/>
          <w:sz w:val="24"/>
          <w:szCs w:val="24"/>
        </w:rPr>
      </w:pPr>
    </w:p>
    <w:p w:rsidR="00DE1344" w:rsidRPr="00DE1344" w:rsidRDefault="00DE1344" w:rsidP="00DE1344">
      <w:pPr>
        <w:spacing w:before="100" w:beforeAutospacing="1" w:after="100" w:afterAutospacing="1" w:line="240" w:lineRule="auto"/>
        <w:outlineLvl w:val="1"/>
        <w:rPr>
          <w:rFonts w:ascii="Times New Roman" w:eastAsia="Times New Roman" w:hAnsi="Times New Roman" w:cs="Times New Roman"/>
          <w:b/>
          <w:bCs/>
          <w:sz w:val="36"/>
          <w:szCs w:val="36"/>
        </w:rPr>
      </w:pPr>
      <w:r w:rsidRPr="00DE1344">
        <w:rPr>
          <w:rFonts w:ascii="Times New Roman" w:eastAsia="Times New Roman" w:hAnsi="Times New Roman" w:cs="Times New Roman"/>
          <w:b/>
          <w:bCs/>
          <w:sz w:val="36"/>
          <w:szCs w:val="36"/>
        </w:rPr>
        <w:t>6. Audit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5796"/>
        <w:gridCol w:w="2553"/>
      </w:tblGrid>
      <w:tr w:rsidR="00DE1344" w:rsidRPr="00DE1344" w:rsidTr="00DE1344">
        <w:trPr>
          <w:tblHeader/>
          <w:tblCellSpacing w:w="15" w:type="dxa"/>
        </w:trPr>
        <w:tc>
          <w:tcPr>
            <w:tcW w:w="0" w:type="auto"/>
            <w:vAlign w:val="center"/>
            <w:hideMark/>
          </w:tcPr>
          <w:p w:rsidR="00DE1344" w:rsidRPr="00DE1344" w:rsidRDefault="00DE1344" w:rsidP="00DE1344">
            <w:pPr>
              <w:spacing w:after="0" w:line="240" w:lineRule="auto"/>
              <w:jc w:val="center"/>
              <w:rPr>
                <w:rFonts w:ascii="Times New Roman" w:eastAsia="Times New Roman" w:hAnsi="Times New Roman" w:cs="Times New Roman"/>
                <w:b/>
                <w:bCs/>
                <w:sz w:val="24"/>
                <w:szCs w:val="24"/>
              </w:rPr>
            </w:pPr>
            <w:r w:rsidRPr="00DE1344">
              <w:rPr>
                <w:rFonts w:ascii="Times New Roman" w:eastAsia="Times New Roman" w:hAnsi="Times New Roman" w:cs="Times New Roman"/>
                <w:b/>
                <w:bCs/>
                <w:sz w:val="24"/>
                <w:szCs w:val="24"/>
              </w:rPr>
              <w:t>Finding ID</w:t>
            </w:r>
          </w:p>
        </w:tc>
        <w:tc>
          <w:tcPr>
            <w:tcW w:w="0" w:type="auto"/>
            <w:vAlign w:val="center"/>
            <w:hideMark/>
          </w:tcPr>
          <w:p w:rsidR="00DE1344" w:rsidRPr="00DE1344" w:rsidRDefault="00DE1344" w:rsidP="00DE1344">
            <w:pPr>
              <w:spacing w:after="0" w:line="240" w:lineRule="auto"/>
              <w:jc w:val="center"/>
              <w:rPr>
                <w:rFonts w:ascii="Times New Roman" w:eastAsia="Times New Roman" w:hAnsi="Times New Roman" w:cs="Times New Roman"/>
                <w:b/>
                <w:bCs/>
                <w:sz w:val="24"/>
                <w:szCs w:val="24"/>
              </w:rPr>
            </w:pPr>
            <w:r w:rsidRPr="00DE1344">
              <w:rPr>
                <w:rFonts w:ascii="Times New Roman" w:eastAsia="Times New Roman" w:hAnsi="Times New Roman" w:cs="Times New Roman"/>
                <w:b/>
                <w:bCs/>
                <w:sz w:val="24"/>
                <w:szCs w:val="24"/>
              </w:rPr>
              <w:t>Description</w:t>
            </w:r>
          </w:p>
        </w:tc>
        <w:tc>
          <w:tcPr>
            <w:tcW w:w="0" w:type="auto"/>
            <w:vAlign w:val="center"/>
            <w:hideMark/>
          </w:tcPr>
          <w:p w:rsidR="00DE1344" w:rsidRPr="00DE1344" w:rsidRDefault="00DE1344" w:rsidP="00DE1344">
            <w:pPr>
              <w:spacing w:after="0" w:line="240" w:lineRule="auto"/>
              <w:jc w:val="center"/>
              <w:rPr>
                <w:rFonts w:ascii="Times New Roman" w:eastAsia="Times New Roman" w:hAnsi="Times New Roman" w:cs="Times New Roman"/>
                <w:b/>
                <w:bCs/>
                <w:sz w:val="24"/>
                <w:szCs w:val="24"/>
              </w:rPr>
            </w:pPr>
            <w:r w:rsidRPr="00DE1344">
              <w:rPr>
                <w:rFonts w:ascii="Times New Roman" w:eastAsia="Times New Roman" w:hAnsi="Times New Roman" w:cs="Times New Roman"/>
                <w:b/>
                <w:bCs/>
                <w:sz w:val="24"/>
                <w:szCs w:val="24"/>
              </w:rPr>
              <w:t>Classification</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F-001</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The required Q2 periodic access review was not performed or documented.</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Major Nonconformity</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F-002</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Vendor security assessments were performed at onboarding, but no ongoing periodic vendor reassessments were performed.</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Major Nonconformity</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F-003</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Ongoing monitoring of vendor security posture was not consistently documented after onboarding.</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Minor Nonconformity</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F-004</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Closure evidence for selected access review exceptions was incomplete.</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Observation / Improvement Opportunity</w:t>
            </w:r>
          </w:p>
        </w:tc>
      </w:tr>
    </w:tbl>
    <w:p w:rsidR="00DE1344" w:rsidRPr="00DE1344" w:rsidRDefault="00DE1344" w:rsidP="00DE1344">
      <w:pPr>
        <w:spacing w:after="0" w:line="240" w:lineRule="auto"/>
        <w:rPr>
          <w:rFonts w:ascii="Times New Roman" w:eastAsia="Times New Roman" w:hAnsi="Times New Roman" w:cs="Times New Roman"/>
          <w:sz w:val="24"/>
          <w:szCs w:val="24"/>
        </w:rPr>
      </w:pPr>
    </w:p>
    <w:p w:rsidR="00DE1344" w:rsidRPr="00DE1344" w:rsidRDefault="00DE1344" w:rsidP="00DE1344">
      <w:pPr>
        <w:spacing w:before="100" w:beforeAutospacing="1" w:after="100" w:afterAutospacing="1" w:line="240" w:lineRule="auto"/>
        <w:outlineLvl w:val="1"/>
        <w:rPr>
          <w:rFonts w:ascii="Times New Roman" w:eastAsia="Times New Roman" w:hAnsi="Times New Roman" w:cs="Times New Roman"/>
          <w:b/>
          <w:bCs/>
          <w:sz w:val="36"/>
          <w:szCs w:val="36"/>
        </w:rPr>
      </w:pPr>
      <w:r w:rsidRPr="00DE1344">
        <w:rPr>
          <w:rFonts w:ascii="Times New Roman" w:eastAsia="Times New Roman" w:hAnsi="Times New Roman" w:cs="Times New Roman"/>
          <w:b/>
          <w:bCs/>
          <w:sz w:val="36"/>
          <w:szCs w:val="36"/>
        </w:rPr>
        <w:t>7. Key Risk Implications</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The identified weaknesses may result in:</w:t>
      </w:r>
    </w:p>
    <w:p w:rsidR="00DE1344" w:rsidRPr="00DE1344" w:rsidRDefault="00DE1344" w:rsidP="00DE13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Inappropriate or excessive user access remaining undetected.</w:t>
      </w:r>
    </w:p>
    <w:p w:rsidR="00DE1344" w:rsidRPr="00DE1344" w:rsidRDefault="00DE1344" w:rsidP="00DE13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Former or transferred users retaining unnecessary access.</w:t>
      </w:r>
    </w:p>
    <w:p w:rsidR="00DE1344" w:rsidRPr="00DE1344" w:rsidRDefault="00DE1344" w:rsidP="00DE13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Changes in vendor security posture remaining unidentified.</w:t>
      </w:r>
    </w:p>
    <w:p w:rsidR="00DE1344" w:rsidRPr="00DE1344" w:rsidRDefault="00DE1344" w:rsidP="00DE13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Increased exposure to third-party security incidents.</w:t>
      </w:r>
    </w:p>
    <w:p w:rsidR="00DE1344" w:rsidRPr="00DE1344" w:rsidRDefault="00DE1344" w:rsidP="00DE13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Inadequate evidence to demonstrate ongoing control operation.</w:t>
      </w:r>
    </w:p>
    <w:p w:rsidR="00DE1344" w:rsidRPr="00DE1344" w:rsidRDefault="00DE1344" w:rsidP="00DE13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Increased compliance risk in areas involving customer PII and payment-related services.</w:t>
      </w:r>
    </w:p>
    <w:p w:rsidR="00DE1344" w:rsidRPr="00DE1344" w:rsidRDefault="00DE1344" w:rsidP="00DE1344">
      <w:pPr>
        <w:spacing w:after="0" w:line="240" w:lineRule="auto"/>
        <w:rPr>
          <w:rFonts w:ascii="Times New Roman" w:eastAsia="Times New Roman" w:hAnsi="Times New Roman" w:cs="Times New Roman"/>
          <w:sz w:val="24"/>
          <w:szCs w:val="24"/>
        </w:rPr>
      </w:pPr>
    </w:p>
    <w:p w:rsidR="00DE1344" w:rsidRPr="00DE1344" w:rsidRDefault="00DE1344" w:rsidP="00DE1344">
      <w:pPr>
        <w:spacing w:before="100" w:beforeAutospacing="1" w:after="100" w:afterAutospacing="1" w:line="240" w:lineRule="auto"/>
        <w:outlineLvl w:val="1"/>
        <w:rPr>
          <w:rFonts w:ascii="Times New Roman" w:eastAsia="Times New Roman" w:hAnsi="Times New Roman" w:cs="Times New Roman"/>
          <w:b/>
          <w:bCs/>
          <w:sz w:val="36"/>
          <w:szCs w:val="36"/>
        </w:rPr>
      </w:pPr>
      <w:r w:rsidRPr="00DE1344">
        <w:rPr>
          <w:rFonts w:ascii="Times New Roman" w:eastAsia="Times New Roman" w:hAnsi="Times New Roman" w:cs="Times New Roman"/>
          <w:b/>
          <w:bCs/>
          <w:sz w:val="36"/>
          <w:szCs w:val="36"/>
        </w:rPr>
        <w:lastRenderedPageBreak/>
        <w:t>8. Recommendations</w:t>
      </w:r>
    </w:p>
    <w:p w:rsidR="00DE1344" w:rsidRPr="00DE1344" w:rsidRDefault="00DE1344" w:rsidP="00DE1344">
      <w:pPr>
        <w:spacing w:before="100" w:beforeAutospacing="1" w:after="100" w:afterAutospacing="1" w:line="240" w:lineRule="auto"/>
        <w:outlineLvl w:val="2"/>
        <w:rPr>
          <w:rFonts w:ascii="Times New Roman" w:eastAsia="Times New Roman" w:hAnsi="Times New Roman" w:cs="Times New Roman"/>
          <w:b/>
          <w:bCs/>
          <w:sz w:val="27"/>
          <w:szCs w:val="27"/>
        </w:rPr>
      </w:pPr>
      <w:r w:rsidRPr="00DE1344">
        <w:rPr>
          <w:rFonts w:ascii="Times New Roman" w:eastAsia="Times New Roman" w:hAnsi="Times New Roman" w:cs="Times New Roman"/>
          <w:b/>
          <w:bCs/>
          <w:sz w:val="27"/>
          <w:szCs w:val="27"/>
        </w:rPr>
        <w:t>8.1 Strengthen Periodic Access Review Governance</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proofErr w:type="spellStart"/>
      <w:r w:rsidRPr="00DE1344">
        <w:rPr>
          <w:rFonts w:ascii="Times New Roman" w:eastAsia="Times New Roman" w:hAnsi="Times New Roman" w:cs="Times New Roman"/>
          <w:sz w:val="24"/>
          <w:szCs w:val="24"/>
        </w:rPr>
        <w:t>VertexPay</w:t>
      </w:r>
      <w:proofErr w:type="spellEnd"/>
      <w:r w:rsidRPr="00DE1344">
        <w:rPr>
          <w:rFonts w:ascii="Times New Roman" w:eastAsia="Times New Roman" w:hAnsi="Times New Roman" w:cs="Times New Roman"/>
          <w:sz w:val="24"/>
          <w:szCs w:val="24"/>
        </w:rPr>
        <w:t xml:space="preserve"> should implement a formal mechanism to ensure that scheduled access reviews are completed on time.</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Recommended actions include:</w:t>
      </w:r>
    </w:p>
    <w:p w:rsidR="00DE1344" w:rsidRPr="00DE1344" w:rsidRDefault="00DE1344" w:rsidP="00DE13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Assigning a clearly accountable control owner.</w:t>
      </w:r>
    </w:p>
    <w:p w:rsidR="00DE1344" w:rsidRPr="00DE1344" w:rsidRDefault="00DE1344" w:rsidP="00DE13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Implementing automated review reminders.</w:t>
      </w:r>
    </w:p>
    <w:p w:rsidR="00DE1344" w:rsidRPr="00DE1344" w:rsidRDefault="00DE1344" w:rsidP="00DE13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Establishing escalation procedures for overdue reviews.</w:t>
      </w:r>
    </w:p>
    <w:p w:rsidR="00DE1344" w:rsidRPr="00DE1344" w:rsidRDefault="00DE1344" w:rsidP="00DE13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Tracking completion through management reporting.</w:t>
      </w:r>
    </w:p>
    <w:p w:rsidR="00DE1344" w:rsidRPr="00DE1344" w:rsidRDefault="00DE1344" w:rsidP="00DE13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Defining a documented process for handling missed review cycles.</w:t>
      </w:r>
    </w:p>
    <w:p w:rsidR="00DE1344" w:rsidRPr="00DE1344" w:rsidRDefault="00DE1344" w:rsidP="00DE1344">
      <w:pPr>
        <w:spacing w:before="100" w:beforeAutospacing="1" w:after="100" w:afterAutospacing="1" w:line="240" w:lineRule="auto"/>
        <w:outlineLvl w:val="2"/>
        <w:rPr>
          <w:rFonts w:ascii="Times New Roman" w:eastAsia="Times New Roman" w:hAnsi="Times New Roman" w:cs="Times New Roman"/>
          <w:b/>
          <w:bCs/>
          <w:sz w:val="27"/>
          <w:szCs w:val="27"/>
        </w:rPr>
      </w:pPr>
      <w:r w:rsidRPr="00DE1344">
        <w:rPr>
          <w:rFonts w:ascii="Times New Roman" w:eastAsia="Times New Roman" w:hAnsi="Times New Roman" w:cs="Times New Roman"/>
          <w:b/>
          <w:bCs/>
          <w:sz w:val="27"/>
          <w:szCs w:val="27"/>
        </w:rPr>
        <w:t>8.2 Implement Risk-Based Vendor Reassessment</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proofErr w:type="spellStart"/>
      <w:r w:rsidRPr="00DE1344">
        <w:rPr>
          <w:rFonts w:ascii="Times New Roman" w:eastAsia="Times New Roman" w:hAnsi="Times New Roman" w:cs="Times New Roman"/>
          <w:sz w:val="24"/>
          <w:szCs w:val="24"/>
        </w:rPr>
        <w:t>VertexPay</w:t>
      </w:r>
      <w:proofErr w:type="spellEnd"/>
      <w:r w:rsidRPr="00DE1344">
        <w:rPr>
          <w:rFonts w:ascii="Times New Roman" w:eastAsia="Times New Roman" w:hAnsi="Times New Roman" w:cs="Times New Roman"/>
          <w:sz w:val="24"/>
          <w:szCs w:val="24"/>
        </w:rPr>
        <w:t xml:space="preserve"> should establish and operate a formal periodic vendor reassessment program.</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The program should:</w:t>
      </w:r>
    </w:p>
    <w:p w:rsidR="00DE1344" w:rsidRPr="00DE1344" w:rsidRDefault="00DE1344" w:rsidP="00DE13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Define reassessment frequencies based on vendor risk.</w:t>
      </w:r>
    </w:p>
    <w:p w:rsidR="00DE1344" w:rsidRPr="00DE1344" w:rsidRDefault="00DE1344" w:rsidP="00DE13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Require enhanced reassessment of high-risk and critical vendors.</w:t>
      </w:r>
    </w:p>
    <w:p w:rsidR="00DE1344" w:rsidRPr="00DE1344" w:rsidRDefault="00DE1344" w:rsidP="00DE13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Track reassessment due dates.</w:t>
      </w:r>
    </w:p>
    <w:p w:rsidR="00DE1344" w:rsidRPr="00DE1344" w:rsidRDefault="00DE1344" w:rsidP="00DE13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Escalate overdue reassessments.</w:t>
      </w:r>
    </w:p>
    <w:p w:rsidR="00DE1344" w:rsidRPr="00DE1344" w:rsidRDefault="00DE1344" w:rsidP="00DE13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Retain evidence of completed reassessments.</w:t>
      </w:r>
    </w:p>
    <w:p w:rsidR="00DE1344" w:rsidRPr="00DE1344" w:rsidRDefault="00DE1344" w:rsidP="00DE1344">
      <w:pPr>
        <w:spacing w:before="100" w:beforeAutospacing="1" w:after="100" w:afterAutospacing="1" w:line="240" w:lineRule="auto"/>
        <w:outlineLvl w:val="2"/>
        <w:rPr>
          <w:rFonts w:ascii="Times New Roman" w:eastAsia="Times New Roman" w:hAnsi="Times New Roman" w:cs="Times New Roman"/>
          <w:b/>
          <w:bCs/>
          <w:sz w:val="27"/>
          <w:szCs w:val="27"/>
        </w:rPr>
      </w:pPr>
      <w:r w:rsidRPr="00DE1344">
        <w:rPr>
          <w:rFonts w:ascii="Times New Roman" w:eastAsia="Times New Roman" w:hAnsi="Times New Roman" w:cs="Times New Roman"/>
          <w:b/>
          <w:bCs/>
          <w:sz w:val="27"/>
          <w:szCs w:val="27"/>
        </w:rPr>
        <w:t>8.3 Formalize Ongoing Vendor Monitoring</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Vendor Risk Management should define minimum ongoing monitoring activities for active vendors.</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Monitoring should consider:</w:t>
      </w:r>
    </w:p>
    <w:p w:rsidR="00DE1344" w:rsidRPr="00DE1344" w:rsidRDefault="00DE1344" w:rsidP="00DE13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Security incidents</w:t>
      </w:r>
    </w:p>
    <w:p w:rsidR="00DE1344" w:rsidRPr="00DE1344" w:rsidRDefault="00DE1344" w:rsidP="00DE13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Changes in vendor risk</w:t>
      </w:r>
    </w:p>
    <w:p w:rsidR="00DE1344" w:rsidRPr="00DE1344" w:rsidRDefault="00DE1344" w:rsidP="00DE13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Changes in services or ownership</w:t>
      </w:r>
    </w:p>
    <w:p w:rsidR="00DE1344" w:rsidRPr="00DE1344" w:rsidRDefault="00DE1344" w:rsidP="00DE13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Expiration of security certifications</w:t>
      </w:r>
    </w:p>
    <w:p w:rsidR="00DE1344" w:rsidRPr="00DE1344" w:rsidRDefault="00DE1344" w:rsidP="00DE13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Relevant assurance reports</w:t>
      </w:r>
    </w:p>
    <w:p w:rsidR="00DE1344" w:rsidRPr="00DE1344" w:rsidRDefault="00DE1344" w:rsidP="00DE13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Material security events</w:t>
      </w:r>
    </w:p>
    <w:p w:rsidR="00DE1344" w:rsidRPr="00DE1344" w:rsidRDefault="00DE1344" w:rsidP="00DE1344">
      <w:pPr>
        <w:spacing w:before="100" w:beforeAutospacing="1" w:after="100" w:afterAutospacing="1" w:line="240" w:lineRule="auto"/>
        <w:outlineLvl w:val="2"/>
        <w:rPr>
          <w:rFonts w:ascii="Times New Roman" w:eastAsia="Times New Roman" w:hAnsi="Times New Roman" w:cs="Times New Roman"/>
          <w:b/>
          <w:bCs/>
          <w:sz w:val="27"/>
          <w:szCs w:val="27"/>
        </w:rPr>
      </w:pPr>
      <w:r w:rsidRPr="00DE1344">
        <w:rPr>
          <w:rFonts w:ascii="Times New Roman" w:eastAsia="Times New Roman" w:hAnsi="Times New Roman" w:cs="Times New Roman"/>
          <w:b/>
          <w:bCs/>
          <w:sz w:val="27"/>
          <w:szCs w:val="27"/>
        </w:rPr>
        <w:t>8.4 Improve Remediation Evidence Retention</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proofErr w:type="spellStart"/>
      <w:r w:rsidRPr="00DE1344">
        <w:rPr>
          <w:rFonts w:ascii="Times New Roman" w:eastAsia="Times New Roman" w:hAnsi="Times New Roman" w:cs="Times New Roman"/>
          <w:sz w:val="24"/>
          <w:szCs w:val="24"/>
        </w:rPr>
        <w:t>VertexPay</w:t>
      </w:r>
      <w:proofErr w:type="spellEnd"/>
      <w:r w:rsidRPr="00DE1344">
        <w:rPr>
          <w:rFonts w:ascii="Times New Roman" w:eastAsia="Times New Roman" w:hAnsi="Times New Roman" w:cs="Times New Roman"/>
          <w:sz w:val="24"/>
          <w:szCs w:val="24"/>
        </w:rPr>
        <w:t xml:space="preserve"> should standardize the evidence required to close access management exceptions.</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lastRenderedPageBreak/>
        <w:t>Closure evidence should clearly demonstrate:</w:t>
      </w:r>
    </w:p>
    <w:p w:rsidR="00DE1344" w:rsidRPr="00DE1344" w:rsidRDefault="00DE1344" w:rsidP="00DE13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What issue was identified.</w:t>
      </w:r>
    </w:p>
    <w:p w:rsidR="00DE1344" w:rsidRPr="00DE1344" w:rsidRDefault="00DE1344" w:rsidP="00DE13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 xml:space="preserve">What corrective action was </w:t>
      </w:r>
      <w:proofErr w:type="gramStart"/>
      <w:r w:rsidRPr="00DE1344">
        <w:rPr>
          <w:rFonts w:ascii="Times New Roman" w:eastAsia="Times New Roman" w:hAnsi="Times New Roman" w:cs="Times New Roman"/>
          <w:sz w:val="24"/>
          <w:szCs w:val="24"/>
        </w:rPr>
        <w:t>taken.</w:t>
      </w:r>
      <w:proofErr w:type="gramEnd"/>
    </w:p>
    <w:p w:rsidR="00DE1344" w:rsidRPr="00DE1344" w:rsidRDefault="00DE1344" w:rsidP="00DE13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Who completed the action.</w:t>
      </w:r>
    </w:p>
    <w:p w:rsidR="00DE1344" w:rsidRPr="00DE1344" w:rsidRDefault="00DE1344" w:rsidP="00DE13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When the action was completed.</w:t>
      </w:r>
    </w:p>
    <w:p w:rsidR="00DE1344" w:rsidRPr="00DE1344" w:rsidRDefault="00DE1344" w:rsidP="00DE13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 xml:space="preserve">How the action was </w:t>
      </w:r>
      <w:proofErr w:type="gramStart"/>
      <w:r w:rsidRPr="00DE1344">
        <w:rPr>
          <w:rFonts w:ascii="Times New Roman" w:eastAsia="Times New Roman" w:hAnsi="Times New Roman" w:cs="Times New Roman"/>
          <w:sz w:val="24"/>
          <w:szCs w:val="24"/>
        </w:rPr>
        <w:t>verified.</w:t>
      </w:r>
      <w:proofErr w:type="gramEnd"/>
    </w:p>
    <w:p w:rsidR="00DE1344" w:rsidRPr="00DE1344" w:rsidRDefault="00DE1344" w:rsidP="00DE1344">
      <w:pPr>
        <w:spacing w:after="0" w:line="240" w:lineRule="auto"/>
        <w:rPr>
          <w:rFonts w:ascii="Times New Roman" w:eastAsia="Times New Roman" w:hAnsi="Times New Roman" w:cs="Times New Roman"/>
          <w:sz w:val="24"/>
          <w:szCs w:val="24"/>
        </w:rPr>
      </w:pPr>
    </w:p>
    <w:p w:rsidR="00DE1344" w:rsidRPr="00DE1344" w:rsidRDefault="00DE1344" w:rsidP="00DE1344">
      <w:pPr>
        <w:spacing w:before="100" w:beforeAutospacing="1" w:after="100" w:afterAutospacing="1" w:line="240" w:lineRule="auto"/>
        <w:outlineLvl w:val="1"/>
        <w:rPr>
          <w:rFonts w:ascii="Times New Roman" w:eastAsia="Times New Roman" w:hAnsi="Times New Roman" w:cs="Times New Roman"/>
          <w:b/>
          <w:bCs/>
          <w:sz w:val="36"/>
          <w:szCs w:val="36"/>
        </w:rPr>
      </w:pPr>
      <w:r w:rsidRPr="00DE1344">
        <w:rPr>
          <w:rFonts w:ascii="Times New Roman" w:eastAsia="Times New Roman" w:hAnsi="Times New Roman" w:cs="Times New Roman"/>
          <w:b/>
          <w:bCs/>
          <w:sz w:val="36"/>
          <w:szCs w:val="36"/>
        </w:rPr>
        <w:t>9. Management Action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1141"/>
        <w:gridCol w:w="2107"/>
        <w:gridCol w:w="1927"/>
        <w:gridCol w:w="716"/>
      </w:tblGrid>
      <w:tr w:rsidR="00DE1344" w:rsidRPr="00DE1344" w:rsidTr="00DE1344">
        <w:trPr>
          <w:tblHeader/>
          <w:tblCellSpacing w:w="15" w:type="dxa"/>
        </w:trPr>
        <w:tc>
          <w:tcPr>
            <w:tcW w:w="0" w:type="auto"/>
            <w:vAlign w:val="center"/>
            <w:hideMark/>
          </w:tcPr>
          <w:p w:rsidR="00DE1344" w:rsidRPr="00DE1344" w:rsidRDefault="00DE1344" w:rsidP="00DE1344">
            <w:pPr>
              <w:spacing w:after="0" w:line="240" w:lineRule="auto"/>
              <w:jc w:val="center"/>
              <w:rPr>
                <w:rFonts w:ascii="Times New Roman" w:eastAsia="Times New Roman" w:hAnsi="Times New Roman" w:cs="Times New Roman"/>
                <w:b/>
                <w:bCs/>
                <w:sz w:val="24"/>
                <w:szCs w:val="24"/>
              </w:rPr>
            </w:pPr>
            <w:r w:rsidRPr="00DE1344">
              <w:rPr>
                <w:rFonts w:ascii="Times New Roman" w:eastAsia="Times New Roman" w:hAnsi="Times New Roman" w:cs="Times New Roman"/>
                <w:b/>
                <w:bCs/>
                <w:sz w:val="24"/>
                <w:szCs w:val="24"/>
              </w:rPr>
              <w:t>Finding ID</w:t>
            </w:r>
          </w:p>
        </w:tc>
        <w:tc>
          <w:tcPr>
            <w:tcW w:w="0" w:type="auto"/>
            <w:vAlign w:val="center"/>
            <w:hideMark/>
          </w:tcPr>
          <w:p w:rsidR="00DE1344" w:rsidRPr="00DE1344" w:rsidRDefault="00DE1344" w:rsidP="00DE1344">
            <w:pPr>
              <w:spacing w:after="0" w:line="240" w:lineRule="auto"/>
              <w:jc w:val="center"/>
              <w:rPr>
                <w:rFonts w:ascii="Times New Roman" w:eastAsia="Times New Roman" w:hAnsi="Times New Roman" w:cs="Times New Roman"/>
                <w:b/>
                <w:bCs/>
                <w:sz w:val="24"/>
                <w:szCs w:val="24"/>
              </w:rPr>
            </w:pPr>
            <w:r w:rsidRPr="00DE1344">
              <w:rPr>
                <w:rFonts w:ascii="Times New Roman" w:eastAsia="Times New Roman" w:hAnsi="Times New Roman" w:cs="Times New Roman"/>
                <w:b/>
                <w:bCs/>
                <w:sz w:val="24"/>
                <w:szCs w:val="24"/>
              </w:rPr>
              <w:t>CAPA ID</w:t>
            </w:r>
          </w:p>
        </w:tc>
        <w:tc>
          <w:tcPr>
            <w:tcW w:w="0" w:type="auto"/>
            <w:vAlign w:val="center"/>
            <w:hideMark/>
          </w:tcPr>
          <w:p w:rsidR="00DE1344" w:rsidRPr="00DE1344" w:rsidRDefault="00DE1344" w:rsidP="00DE1344">
            <w:pPr>
              <w:spacing w:after="0" w:line="240" w:lineRule="auto"/>
              <w:jc w:val="center"/>
              <w:rPr>
                <w:rFonts w:ascii="Times New Roman" w:eastAsia="Times New Roman" w:hAnsi="Times New Roman" w:cs="Times New Roman"/>
                <w:b/>
                <w:bCs/>
                <w:sz w:val="24"/>
                <w:szCs w:val="24"/>
              </w:rPr>
            </w:pPr>
            <w:r w:rsidRPr="00DE1344">
              <w:rPr>
                <w:rFonts w:ascii="Times New Roman" w:eastAsia="Times New Roman" w:hAnsi="Times New Roman" w:cs="Times New Roman"/>
                <w:b/>
                <w:bCs/>
                <w:sz w:val="24"/>
                <w:szCs w:val="24"/>
              </w:rPr>
              <w:t>Action Owner</w:t>
            </w:r>
          </w:p>
        </w:tc>
        <w:tc>
          <w:tcPr>
            <w:tcW w:w="0" w:type="auto"/>
            <w:vAlign w:val="center"/>
            <w:hideMark/>
          </w:tcPr>
          <w:p w:rsidR="00DE1344" w:rsidRPr="00DE1344" w:rsidRDefault="00DE1344" w:rsidP="00DE1344">
            <w:pPr>
              <w:spacing w:after="0" w:line="240" w:lineRule="auto"/>
              <w:jc w:val="center"/>
              <w:rPr>
                <w:rFonts w:ascii="Times New Roman" w:eastAsia="Times New Roman" w:hAnsi="Times New Roman" w:cs="Times New Roman"/>
                <w:b/>
                <w:bCs/>
                <w:sz w:val="24"/>
                <w:szCs w:val="24"/>
              </w:rPr>
            </w:pPr>
            <w:r w:rsidRPr="00DE1344">
              <w:rPr>
                <w:rFonts w:ascii="Times New Roman" w:eastAsia="Times New Roman" w:hAnsi="Times New Roman" w:cs="Times New Roman"/>
                <w:b/>
                <w:bCs/>
                <w:sz w:val="24"/>
                <w:szCs w:val="24"/>
              </w:rPr>
              <w:t>Target Date</w:t>
            </w:r>
          </w:p>
        </w:tc>
        <w:tc>
          <w:tcPr>
            <w:tcW w:w="0" w:type="auto"/>
            <w:vAlign w:val="center"/>
            <w:hideMark/>
          </w:tcPr>
          <w:p w:rsidR="00DE1344" w:rsidRPr="00DE1344" w:rsidRDefault="00DE1344" w:rsidP="00DE1344">
            <w:pPr>
              <w:spacing w:after="0" w:line="240" w:lineRule="auto"/>
              <w:jc w:val="center"/>
              <w:rPr>
                <w:rFonts w:ascii="Times New Roman" w:eastAsia="Times New Roman" w:hAnsi="Times New Roman" w:cs="Times New Roman"/>
                <w:b/>
                <w:bCs/>
                <w:sz w:val="24"/>
                <w:szCs w:val="24"/>
              </w:rPr>
            </w:pPr>
            <w:r w:rsidRPr="00DE1344">
              <w:rPr>
                <w:rFonts w:ascii="Times New Roman" w:eastAsia="Times New Roman" w:hAnsi="Times New Roman" w:cs="Times New Roman"/>
                <w:b/>
                <w:bCs/>
                <w:sz w:val="24"/>
                <w:szCs w:val="24"/>
              </w:rPr>
              <w:t>Status</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F-001</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CAPA-001</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IT Director</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31 August 2026</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Open</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F-002</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CAPA-002</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Head of Vendor Risk</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30 September 2026</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Open</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F-003</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CAPA-003</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Head of Vendor Risk</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30 September 2026</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Open</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F-004</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CAPA-004</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IAM Manager</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31 August 2026</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Open</w:t>
            </w:r>
          </w:p>
        </w:tc>
      </w:tr>
    </w:tbl>
    <w:p w:rsidR="00DE1344" w:rsidRPr="00DE1344" w:rsidRDefault="00DE1344" w:rsidP="00DE1344">
      <w:pPr>
        <w:spacing w:after="0" w:line="240" w:lineRule="auto"/>
        <w:rPr>
          <w:rFonts w:ascii="Times New Roman" w:eastAsia="Times New Roman" w:hAnsi="Times New Roman" w:cs="Times New Roman"/>
          <w:sz w:val="24"/>
          <w:szCs w:val="24"/>
        </w:rPr>
      </w:pPr>
    </w:p>
    <w:p w:rsidR="00DE1344" w:rsidRPr="00DE1344" w:rsidRDefault="00DE1344" w:rsidP="00DE1344">
      <w:pPr>
        <w:spacing w:before="100" w:beforeAutospacing="1" w:after="100" w:afterAutospacing="1" w:line="240" w:lineRule="auto"/>
        <w:outlineLvl w:val="1"/>
        <w:rPr>
          <w:rFonts w:ascii="Times New Roman" w:eastAsia="Times New Roman" w:hAnsi="Times New Roman" w:cs="Times New Roman"/>
          <w:b/>
          <w:bCs/>
          <w:sz w:val="36"/>
          <w:szCs w:val="36"/>
        </w:rPr>
      </w:pPr>
      <w:r w:rsidRPr="00DE1344">
        <w:rPr>
          <w:rFonts w:ascii="Times New Roman" w:eastAsia="Times New Roman" w:hAnsi="Times New Roman" w:cs="Times New Roman"/>
          <w:b/>
          <w:bCs/>
          <w:sz w:val="36"/>
          <w:szCs w:val="36"/>
        </w:rPr>
        <w:t>10. Conclusion</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 xml:space="preserve">The audit concludes that </w:t>
      </w:r>
      <w:proofErr w:type="spellStart"/>
      <w:r w:rsidRPr="00DE1344">
        <w:rPr>
          <w:rFonts w:ascii="Times New Roman" w:eastAsia="Times New Roman" w:hAnsi="Times New Roman" w:cs="Times New Roman"/>
          <w:sz w:val="24"/>
          <w:szCs w:val="24"/>
        </w:rPr>
        <w:t>VertexPay</w:t>
      </w:r>
      <w:proofErr w:type="spellEnd"/>
      <w:r w:rsidRPr="00DE1344">
        <w:rPr>
          <w:rFonts w:ascii="Times New Roman" w:eastAsia="Times New Roman" w:hAnsi="Times New Roman" w:cs="Times New Roman"/>
          <w:sz w:val="24"/>
          <w:szCs w:val="24"/>
        </w:rPr>
        <w:t xml:space="preserve"> Solutions has established core Access Management and Vendor Management processes. However, the operating effectiveness of certain periodic monitoring and review controls requires improvement.</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The most significant issues relate to the missed Q2 access review and the absence of ongoing periodic vendor reassessments. These weaknesses indicate that control activities are not consistently operating at the frequency required to provide ongoing assurance.</w:t>
      </w:r>
    </w:p>
    <w:p w:rsidR="00DE1344" w:rsidRPr="00DE1344" w:rsidRDefault="00DE1344" w:rsidP="00DE1344">
      <w:pPr>
        <w:spacing w:before="100" w:beforeAutospacing="1" w:after="100" w:afterAutospacing="1" w:line="240" w:lineRule="auto"/>
        <w:outlineLvl w:val="2"/>
        <w:rPr>
          <w:rFonts w:ascii="Times New Roman" w:eastAsia="Times New Roman" w:hAnsi="Times New Roman" w:cs="Times New Roman"/>
          <w:b/>
          <w:bCs/>
          <w:sz w:val="27"/>
          <w:szCs w:val="27"/>
        </w:rPr>
      </w:pPr>
      <w:r w:rsidRPr="00DE1344">
        <w:rPr>
          <w:rFonts w:ascii="Times New Roman" w:eastAsia="Times New Roman" w:hAnsi="Times New Roman" w:cs="Times New Roman"/>
          <w:b/>
          <w:bCs/>
          <w:sz w:val="27"/>
          <w:szCs w:val="27"/>
        </w:rPr>
        <w:t>Overall Audit Conclusion</w:t>
      </w:r>
    </w:p>
    <w:p w:rsidR="00DE1344" w:rsidRPr="00DE1344" w:rsidRDefault="00DE1344" w:rsidP="00DE1344">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PARTIALLY EFFECTIVE </w:t>
      </w:r>
      <w:r w:rsidRPr="00DE1344">
        <w:rPr>
          <w:rFonts w:ascii="Times New Roman" w:eastAsia="Times New Roman" w:hAnsi="Times New Roman" w:cs="Times New Roman"/>
          <w:b/>
          <w:bCs/>
          <w:kern w:val="36"/>
          <w:sz w:val="48"/>
          <w:szCs w:val="48"/>
        </w:rPr>
        <w:t>IMPROVEMENT REQUIRED</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Management should prioritize the implementation of the CAPA plans, particularly the establishment of reliable tracking, ownership, escalation, and verification mechanisms for periodic control activities.</w:t>
      </w:r>
    </w:p>
    <w:p w:rsidR="00DE1344" w:rsidRPr="00DE1344" w:rsidRDefault="00DE1344" w:rsidP="00DE1344">
      <w:p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A follow-up audit or management verification review should be performed after implementation to confirm that:</w:t>
      </w:r>
    </w:p>
    <w:p w:rsidR="00DE1344" w:rsidRPr="00DE1344" w:rsidRDefault="00DE1344" w:rsidP="00DE13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Access reviews are completed on schedule for at least two consecutive review periods.</w:t>
      </w:r>
    </w:p>
    <w:p w:rsidR="00DE1344" w:rsidRPr="00DE1344" w:rsidRDefault="00DE1344" w:rsidP="00DE13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lastRenderedPageBreak/>
        <w:t>High-risk and critical vendors are reassessed according to the approved risk-based schedule.</w:t>
      </w:r>
    </w:p>
    <w:p w:rsidR="00DE1344" w:rsidRPr="00DE1344" w:rsidRDefault="00DE1344" w:rsidP="00DE13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Ongoing vendor monitoring is consistently documented.</w:t>
      </w:r>
    </w:p>
    <w:p w:rsidR="00DE1344" w:rsidRPr="00DE1344" w:rsidRDefault="00DE1344" w:rsidP="00DE13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Access review remediation records contain complete closure evidence.</w:t>
      </w:r>
    </w:p>
    <w:p w:rsidR="00DE1344" w:rsidRPr="00DE1344" w:rsidRDefault="00DE1344" w:rsidP="00DE1344">
      <w:pPr>
        <w:spacing w:after="0" w:line="240" w:lineRule="auto"/>
        <w:rPr>
          <w:rFonts w:ascii="Times New Roman" w:eastAsia="Times New Roman" w:hAnsi="Times New Roman" w:cs="Times New Roman"/>
          <w:sz w:val="24"/>
          <w:szCs w:val="24"/>
        </w:rPr>
      </w:pPr>
      <w:bookmarkStart w:id="0" w:name="_GoBack"/>
      <w:bookmarkEnd w:id="0"/>
    </w:p>
    <w:p w:rsidR="00DE1344" w:rsidRPr="00DE1344" w:rsidRDefault="00DE1344" w:rsidP="00DE1344">
      <w:pPr>
        <w:spacing w:before="100" w:beforeAutospacing="1" w:after="100" w:afterAutospacing="1" w:line="240" w:lineRule="auto"/>
        <w:outlineLvl w:val="1"/>
        <w:rPr>
          <w:rFonts w:ascii="Times New Roman" w:eastAsia="Times New Roman" w:hAnsi="Times New Roman" w:cs="Times New Roman"/>
          <w:b/>
          <w:bCs/>
          <w:sz w:val="36"/>
          <w:szCs w:val="36"/>
        </w:rPr>
      </w:pPr>
      <w:r w:rsidRPr="00DE1344">
        <w:rPr>
          <w:rFonts w:ascii="Times New Roman" w:eastAsia="Times New Roman" w:hAnsi="Times New Roman" w:cs="Times New Roman"/>
          <w:b/>
          <w:bCs/>
          <w:sz w:val="36"/>
          <w:szCs w:val="36"/>
        </w:rPr>
        <w:t>11. Audit Completion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129"/>
      </w:tblGrid>
      <w:tr w:rsidR="00DE1344" w:rsidRPr="00DE1344" w:rsidTr="00DE1344">
        <w:trPr>
          <w:tblHeader/>
          <w:tblCellSpacing w:w="15" w:type="dxa"/>
        </w:trPr>
        <w:tc>
          <w:tcPr>
            <w:tcW w:w="0" w:type="auto"/>
            <w:vAlign w:val="center"/>
            <w:hideMark/>
          </w:tcPr>
          <w:p w:rsidR="00DE1344" w:rsidRPr="00DE1344" w:rsidRDefault="00DE1344" w:rsidP="00DE1344">
            <w:pPr>
              <w:spacing w:after="0" w:line="240" w:lineRule="auto"/>
              <w:jc w:val="center"/>
              <w:rPr>
                <w:rFonts w:ascii="Times New Roman" w:eastAsia="Times New Roman" w:hAnsi="Times New Roman" w:cs="Times New Roman"/>
                <w:b/>
                <w:bCs/>
                <w:sz w:val="24"/>
                <w:szCs w:val="24"/>
              </w:rPr>
            </w:pPr>
            <w:r w:rsidRPr="00DE1344">
              <w:rPr>
                <w:rFonts w:ascii="Times New Roman" w:eastAsia="Times New Roman" w:hAnsi="Times New Roman" w:cs="Times New Roman"/>
                <w:b/>
                <w:bCs/>
                <w:sz w:val="24"/>
                <w:szCs w:val="24"/>
              </w:rPr>
              <w:t>Audit Component</w:t>
            </w:r>
          </w:p>
        </w:tc>
        <w:tc>
          <w:tcPr>
            <w:tcW w:w="0" w:type="auto"/>
            <w:vAlign w:val="center"/>
            <w:hideMark/>
          </w:tcPr>
          <w:p w:rsidR="00DE1344" w:rsidRPr="00DE1344" w:rsidRDefault="00DE1344" w:rsidP="00DE1344">
            <w:pPr>
              <w:spacing w:after="0" w:line="240" w:lineRule="auto"/>
              <w:jc w:val="center"/>
              <w:rPr>
                <w:rFonts w:ascii="Times New Roman" w:eastAsia="Times New Roman" w:hAnsi="Times New Roman" w:cs="Times New Roman"/>
                <w:b/>
                <w:bCs/>
                <w:sz w:val="24"/>
                <w:szCs w:val="24"/>
              </w:rPr>
            </w:pPr>
            <w:r w:rsidRPr="00DE1344">
              <w:rPr>
                <w:rFonts w:ascii="Times New Roman" w:eastAsia="Times New Roman" w:hAnsi="Times New Roman" w:cs="Times New Roman"/>
                <w:b/>
                <w:bCs/>
                <w:sz w:val="24"/>
                <w:szCs w:val="24"/>
              </w:rPr>
              <w:t>Status</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Annual Audit Plan</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Completed</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Audit Program</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Completed</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Audit Checklists</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Completed</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Evidence Review</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Completed</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Interviews</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Completed</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Findings Log</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Completed</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Nonconformity Register</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Completed</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CAPA Tracker</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Completed</w:t>
            </w:r>
          </w:p>
        </w:tc>
      </w:tr>
      <w:tr w:rsidR="00DE1344" w:rsidRPr="00DE1344" w:rsidTr="00DE1344">
        <w:trPr>
          <w:tblCellSpacing w:w="15" w:type="dxa"/>
        </w:trPr>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Executive Audit Report</w:t>
            </w:r>
          </w:p>
        </w:tc>
        <w:tc>
          <w:tcPr>
            <w:tcW w:w="0" w:type="auto"/>
            <w:vAlign w:val="center"/>
            <w:hideMark/>
          </w:tcPr>
          <w:p w:rsidR="00DE1344" w:rsidRPr="00DE1344" w:rsidRDefault="00DE1344" w:rsidP="00DE1344">
            <w:pPr>
              <w:spacing w:after="0" w:line="240" w:lineRule="auto"/>
              <w:rPr>
                <w:rFonts w:ascii="Times New Roman" w:eastAsia="Times New Roman" w:hAnsi="Times New Roman" w:cs="Times New Roman"/>
                <w:sz w:val="24"/>
                <w:szCs w:val="24"/>
              </w:rPr>
            </w:pPr>
            <w:r w:rsidRPr="00DE1344">
              <w:rPr>
                <w:rFonts w:ascii="Times New Roman" w:eastAsia="Times New Roman" w:hAnsi="Times New Roman" w:cs="Times New Roman"/>
                <w:sz w:val="24"/>
                <w:szCs w:val="24"/>
              </w:rPr>
              <w:t>Completed</w:t>
            </w:r>
          </w:p>
        </w:tc>
      </w:tr>
    </w:tbl>
    <w:p w:rsidR="00DE1344" w:rsidRPr="00DE1344" w:rsidRDefault="00DE1344" w:rsidP="00DE1344">
      <w:pPr>
        <w:spacing w:after="0" w:line="240" w:lineRule="auto"/>
        <w:rPr>
          <w:rFonts w:ascii="Times New Roman" w:eastAsia="Times New Roman" w:hAnsi="Times New Roman" w:cs="Times New Roman"/>
          <w:sz w:val="24"/>
          <w:szCs w:val="24"/>
        </w:rPr>
      </w:pPr>
    </w:p>
    <w:p w:rsidR="00A542F3" w:rsidRDefault="00A542F3"/>
    <w:sectPr w:rsidR="00A54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8188B"/>
    <w:multiLevelType w:val="multilevel"/>
    <w:tmpl w:val="919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636D7"/>
    <w:multiLevelType w:val="multilevel"/>
    <w:tmpl w:val="26CE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46EBC"/>
    <w:multiLevelType w:val="multilevel"/>
    <w:tmpl w:val="0802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B6CDC"/>
    <w:multiLevelType w:val="multilevel"/>
    <w:tmpl w:val="2608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B13D8"/>
    <w:multiLevelType w:val="multilevel"/>
    <w:tmpl w:val="E76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06310"/>
    <w:multiLevelType w:val="multilevel"/>
    <w:tmpl w:val="6EBA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37820"/>
    <w:multiLevelType w:val="multilevel"/>
    <w:tmpl w:val="77B2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E9679E"/>
    <w:multiLevelType w:val="multilevel"/>
    <w:tmpl w:val="CB64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103F0"/>
    <w:multiLevelType w:val="multilevel"/>
    <w:tmpl w:val="6A44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EF2A9E"/>
    <w:multiLevelType w:val="multilevel"/>
    <w:tmpl w:val="3E98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049FE"/>
    <w:multiLevelType w:val="multilevel"/>
    <w:tmpl w:val="8F14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1"/>
  </w:num>
  <w:num w:numId="4">
    <w:abstractNumId w:val="9"/>
  </w:num>
  <w:num w:numId="5">
    <w:abstractNumId w:val="0"/>
  </w:num>
  <w:num w:numId="6">
    <w:abstractNumId w:val="2"/>
  </w:num>
  <w:num w:numId="7">
    <w:abstractNumId w:val="3"/>
  </w:num>
  <w:num w:numId="8">
    <w:abstractNumId w:val="5"/>
  </w:num>
  <w:num w:numId="9">
    <w:abstractNumId w:val="6"/>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344"/>
    <w:rsid w:val="00A542F3"/>
    <w:rsid w:val="00DE1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96D1"/>
  <w15:chartTrackingRefBased/>
  <w15:docId w15:val="{08A9E603-6CF5-466D-8A6C-49287AE33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E13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13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13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3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13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13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E13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13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7127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1154</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Neupane</dc:creator>
  <cp:keywords/>
  <dc:description/>
  <cp:lastModifiedBy>Aryan Neupane</cp:lastModifiedBy>
  <cp:revision>2</cp:revision>
  <cp:lastPrinted>2026-07-21T16:43:00Z</cp:lastPrinted>
  <dcterms:created xsi:type="dcterms:W3CDTF">2026-07-21T16:41:00Z</dcterms:created>
  <dcterms:modified xsi:type="dcterms:W3CDTF">2026-07-21T16:43:00Z</dcterms:modified>
</cp:coreProperties>
</file>