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2A6B" w:rsidRPr="00CB2A6B" w:rsidRDefault="00CB2A6B" w:rsidP="00CB2A6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2A6B">
        <w:rPr>
          <w:rFonts w:ascii="Times New Roman" w:eastAsia="Times New Roman" w:hAnsi="Times New Roman" w:cs="Times New Roman"/>
          <w:b/>
          <w:bCs/>
          <w:kern w:val="36"/>
          <w:sz w:val="48"/>
          <w:szCs w:val="48"/>
        </w:rPr>
        <w:t>SOC</w:t>
      </w:r>
      <w:r>
        <w:rPr>
          <w:rFonts w:ascii="Times New Roman" w:eastAsia="Times New Roman" w:hAnsi="Times New Roman" w:cs="Times New Roman"/>
          <w:b/>
          <w:bCs/>
          <w:kern w:val="36"/>
          <w:sz w:val="48"/>
          <w:szCs w:val="48"/>
        </w:rPr>
        <w:t xml:space="preserve"> 2 Readiness Assessment </w:t>
      </w:r>
      <w:proofErr w:type="gramStart"/>
      <w:r>
        <w:rPr>
          <w:rFonts w:ascii="Times New Roman" w:eastAsia="Times New Roman" w:hAnsi="Times New Roman" w:cs="Times New Roman"/>
          <w:b/>
          <w:bCs/>
          <w:kern w:val="36"/>
          <w:sz w:val="48"/>
          <w:szCs w:val="48"/>
        </w:rPr>
        <w:t>Report :</w:t>
      </w:r>
      <w:proofErr w:type="gramEnd"/>
      <w:r w:rsidRPr="00CB2A6B">
        <w:rPr>
          <w:rFonts w:ascii="Times New Roman" w:eastAsia="Times New Roman" w:hAnsi="Times New Roman" w:cs="Times New Roman"/>
          <w:b/>
          <w:bCs/>
          <w:kern w:val="36"/>
          <w:sz w:val="48"/>
          <w:szCs w:val="48"/>
        </w:rPr>
        <w:t xml:space="preserve"> </w:t>
      </w:r>
      <w:proofErr w:type="spellStart"/>
      <w:r w:rsidRPr="00CB2A6B">
        <w:rPr>
          <w:rFonts w:ascii="Times New Roman" w:eastAsia="Times New Roman" w:hAnsi="Times New Roman" w:cs="Times New Roman"/>
          <w:b/>
          <w:bCs/>
          <w:kern w:val="36"/>
          <w:sz w:val="48"/>
          <w:szCs w:val="48"/>
        </w:rPr>
        <w:t>BrightLoop</w:t>
      </w:r>
      <w:proofErr w:type="spellEnd"/>
      <w:r w:rsidRPr="00CB2A6B">
        <w:rPr>
          <w:rFonts w:ascii="Times New Roman" w:eastAsia="Times New Roman" w:hAnsi="Times New Roman" w:cs="Times New Roman"/>
          <w:b/>
          <w:bCs/>
          <w:kern w:val="36"/>
          <w:sz w:val="48"/>
          <w:szCs w:val="48"/>
        </w:rPr>
        <w:t xml:space="preserve"> Analytics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Date:</w:t>
      </w:r>
      <w:r w:rsidRPr="00CB2A6B">
        <w:rPr>
          <w:rFonts w:ascii="Times New Roman" w:eastAsia="Times New Roman" w:hAnsi="Times New Roman" w:cs="Times New Roman"/>
          <w:sz w:val="24"/>
          <w:szCs w:val="24"/>
        </w:rPr>
        <w:t xml:space="preserve"> 2026-07-26</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Assessor:</w:t>
      </w:r>
      <w:r w:rsidRPr="00CB2A6B">
        <w:rPr>
          <w:rFonts w:ascii="Times New Roman" w:eastAsia="Times New Roman" w:hAnsi="Times New Roman" w:cs="Times New Roman"/>
          <w:sz w:val="24"/>
          <w:szCs w:val="24"/>
        </w:rPr>
        <w:t xml:space="preserve"> GRC Analyst</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Report Version:</w:t>
      </w:r>
      <w:r w:rsidRPr="00CB2A6B">
        <w:rPr>
          <w:rFonts w:ascii="Times New Roman" w:eastAsia="Times New Roman" w:hAnsi="Times New Roman" w:cs="Times New Roman"/>
          <w:sz w:val="24"/>
          <w:szCs w:val="24"/>
        </w:rPr>
        <w:t xml:space="preserve"> 1.0</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Assessment Type:</w:t>
      </w:r>
      <w:r w:rsidRPr="00CB2A6B">
        <w:rPr>
          <w:rFonts w:ascii="Times New Roman" w:eastAsia="Times New Roman" w:hAnsi="Times New Roman" w:cs="Times New Roman"/>
          <w:sz w:val="24"/>
          <w:szCs w:val="24"/>
        </w:rPr>
        <w:t xml:space="preserve"> SOC 2 Readiness Assessment</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Linked Workbook:</w:t>
      </w:r>
      <w:r w:rsidRPr="00CB2A6B">
        <w:rPr>
          <w:rFonts w:ascii="Times New Roman" w:eastAsia="Times New Roman" w:hAnsi="Times New Roman" w:cs="Times New Roman"/>
          <w:sz w:val="24"/>
          <w:szCs w:val="24"/>
        </w:rPr>
        <w:t xml:space="preserve"> SOC2-Readiness-Controls-Tracker-BrightLoop.xlsx</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Linked Scoping Document:</w:t>
      </w:r>
      <w:r w:rsidRPr="00CB2A6B">
        <w:rPr>
          <w:rFonts w:ascii="Times New Roman" w:eastAsia="Times New Roman" w:hAnsi="Times New Roman" w:cs="Times New Roman"/>
          <w:sz w:val="24"/>
          <w:szCs w:val="24"/>
        </w:rPr>
        <w:t xml:space="preserve"> SOC2-Scoping-Document-BrightLoop-Analytics.docx</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Executive Summary</w:t>
      </w:r>
      <w:bookmarkStart w:id="0" w:name="_GoBack"/>
      <w:bookmarkEnd w:id="0"/>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Analytics has a strong technical foundation but is not yet ready to begin a SOC 2 examination. The company already has important security protections in place, particularly around controlling access to its systems, but several important security processes are informal, inconsistently performed, or not yet formally documented. The most significant gaps involve the absence of a formal incident response process, the lack of a structured vendor risk program, and the absence of a mature, documented approach to identifying and managing security risks. These gaps should be addressed before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begins its formal audit process.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should initially pursue a focused SOC 2 examination covering the Security criteria rather than expanding the scope unnecessarily. After the highest-priority gaps are remediated, the company should operate its controls consistently and collect evidence over a six-month observation period. Based on the current business context, a direct Type II approach is recommended because it provides evidence that controls operated consistently over time and better supports enterprise customer requirements.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1. Assessment Purpose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The purpose of this assessment was to evaluate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Analytics' readiness to pursue a SOC 2 examination.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assessment evaluated:</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organization's current security governance practices</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Risk management processes</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Access control activities</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monitoring and incident response capabilities</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Change management practices</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risk management</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lastRenderedPageBreak/>
        <w:t>Control documentation and ownership</w:t>
      </w:r>
    </w:p>
    <w:p w:rsidR="00CB2A6B" w:rsidRPr="00CB2A6B" w:rsidRDefault="00CB2A6B" w:rsidP="00CB2A6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collection readiness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The assessment was performed against the applicable SOC 2 Common Criteria and focused on whether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has the policies, processes, controls, and evidence necessary to support a future examination.</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2. Company and Business Context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Analytics is a 120-employee B2B SaaS company providing a marketing analytics platform to business customers.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platform is hosted on AWS and the organization uses Microsoft 365 for business operations and collaboration.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is pursuing SOC 2 readiness to support pending enterprise customer opportunities. The organization has not previously operated a formal compliance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assessment therefore considered both:</w:t>
      </w:r>
    </w:p>
    <w:p w:rsidR="00CB2A6B" w:rsidRPr="00CB2A6B" w:rsidRDefault="00CB2A6B" w:rsidP="00CB2A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Existing technical security capabilities; and</w:t>
      </w:r>
    </w:p>
    <w:p w:rsidR="00CB2A6B" w:rsidRPr="00CB2A6B" w:rsidRDefault="00CB2A6B" w:rsidP="00CB2A6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maturity of the governance, documentation, monitoring, and evidence processes required to demonstrate that those capabilities operate consistently.</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3. Assessment Scope</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Trust Services Criteria</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In Scope:</w:t>
      </w:r>
    </w:p>
    <w:p w:rsidR="00CB2A6B" w:rsidRPr="00CB2A6B" w:rsidRDefault="00CB2A6B" w:rsidP="00CB2A6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 Common Criteria</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Out of Scope:</w:t>
      </w:r>
    </w:p>
    <w:p w:rsidR="00CB2A6B" w:rsidRPr="00CB2A6B" w:rsidRDefault="00CB2A6B" w:rsidP="00CB2A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Availability</w:t>
      </w:r>
    </w:p>
    <w:p w:rsidR="00CB2A6B" w:rsidRPr="00CB2A6B" w:rsidRDefault="00CB2A6B" w:rsidP="00CB2A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Processing Integrity</w:t>
      </w:r>
    </w:p>
    <w:p w:rsidR="00CB2A6B" w:rsidRPr="00CB2A6B" w:rsidRDefault="00CB2A6B" w:rsidP="00CB2A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Confidentiality</w:t>
      </w:r>
    </w:p>
    <w:p w:rsidR="00CB2A6B" w:rsidRPr="00CB2A6B" w:rsidRDefault="00CB2A6B" w:rsidP="00CB2A6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Privacy</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lastRenderedPageBreak/>
        <w:t xml:space="preserve">The initial scope is intentionally focused on Security because this criterion is most directly aligned with </w:t>
      </w:r>
      <w:proofErr w:type="spellStart"/>
      <w:r w:rsidRPr="00CB2A6B">
        <w:rPr>
          <w:rFonts w:ascii="Times New Roman" w:eastAsia="Times New Roman" w:hAnsi="Times New Roman" w:cs="Times New Roman"/>
          <w:sz w:val="24"/>
          <w:szCs w:val="24"/>
        </w:rPr>
        <w:t>BrightLoop's</w:t>
      </w:r>
      <w:proofErr w:type="spellEnd"/>
      <w:r w:rsidRPr="00CB2A6B">
        <w:rPr>
          <w:rFonts w:ascii="Times New Roman" w:eastAsia="Times New Roman" w:hAnsi="Times New Roman" w:cs="Times New Roman"/>
          <w:sz w:val="24"/>
          <w:szCs w:val="24"/>
        </w:rPr>
        <w:t xml:space="preserve"> current enterprise customer requirements and security assurance objectives.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Additional criteria may be considered in future audit cycles if customer contracts, business requirements, or management commitments change.</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System Boundary</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assessment considered the following systems, processes, and personnel:</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AWS production infrastructure</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Production application environment</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Production customer database</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Identity and access management systems</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Microsoft 365 services relevant to security and business operations</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Customer support platform</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CI/CD pipeline used for production deployments</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Personnel responsible for developing, operating, securing, and supporting the production environment</w:t>
      </w:r>
    </w:p>
    <w:p w:rsidR="00CB2A6B" w:rsidRPr="00CB2A6B" w:rsidRDefault="00CB2A6B" w:rsidP="00CB2A6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access management, incident response, change management, and vendor management processes supporting the production environment</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4. Assessment Methodology</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assessment evaluated each of the nine SOC 2 Common Criteria areas.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assessment considered:</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Current documented policies and procedures</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Existing technical and operational controls</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ownership</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frequency</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availability</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Consistency of control operation</w:t>
      </w:r>
    </w:p>
    <w:p w:rsidR="00CB2A6B" w:rsidRPr="00CB2A6B" w:rsidRDefault="00CB2A6B" w:rsidP="00CB2A6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Identified gaps and associated business risk</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Each identified gap was assigned a severity based on its potential effect on </w:t>
      </w:r>
      <w:proofErr w:type="spellStart"/>
      <w:r w:rsidRPr="00CB2A6B">
        <w:rPr>
          <w:rFonts w:ascii="Times New Roman" w:eastAsia="Times New Roman" w:hAnsi="Times New Roman" w:cs="Times New Roman"/>
          <w:sz w:val="24"/>
          <w:szCs w:val="24"/>
        </w:rPr>
        <w:t>BrightLoop's</w:t>
      </w:r>
      <w:proofErr w:type="spellEnd"/>
      <w:r w:rsidRPr="00CB2A6B">
        <w:rPr>
          <w:rFonts w:ascii="Times New Roman" w:eastAsia="Times New Roman" w:hAnsi="Times New Roman" w:cs="Times New Roman"/>
          <w:sz w:val="24"/>
          <w:szCs w:val="24"/>
        </w:rPr>
        <w:t xml:space="preserve"> ability to demonstrate effective control operation and support a future SOC 2 examination.</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lastRenderedPageBreak/>
        <w:t>5. Gap Summary</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current assessment identified gaps across governance, risk management, control documentation, access management, incident response, change management, and vendor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621"/>
        <w:gridCol w:w="1240"/>
        <w:gridCol w:w="980"/>
        <w:gridCol w:w="622"/>
      </w:tblGrid>
      <w:tr w:rsidR="00CB2A6B" w:rsidRPr="00CB2A6B" w:rsidTr="00CB2A6B">
        <w:trPr>
          <w:tblHeader/>
          <w:tblCellSpacing w:w="15" w:type="dxa"/>
        </w:trPr>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Severity</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Open</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In Progress</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Resolved</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Total</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Critical</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High</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22</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5</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27</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Medium</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8</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2</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10</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Low</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c>
          <w:tcPr>
            <w:tcW w:w="0" w:type="auto"/>
            <w:vAlign w:val="center"/>
            <w:hideMark/>
          </w:tcPr>
          <w:p w:rsidR="00CB2A6B" w:rsidRPr="00CB2A6B" w:rsidRDefault="00CB2A6B" w:rsidP="00CB2A6B">
            <w:pPr>
              <w:spacing w:after="0" w:line="240" w:lineRule="auto"/>
              <w:jc w:val="right"/>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0</w:t>
            </w:r>
          </w:p>
        </w:tc>
      </w:tr>
    </w:tbl>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Overall Readiness Status:</w:t>
      </w:r>
      <w:r w:rsidRPr="00CB2A6B">
        <w:rPr>
          <w:rFonts w:ascii="Times New Roman" w:eastAsia="Times New Roman" w:hAnsi="Times New Roman" w:cs="Times New Roman"/>
          <w:sz w:val="24"/>
          <w:szCs w:val="24"/>
        </w:rPr>
        <w:t xml:space="preserve"> Not Ready for Examination</w:t>
      </w:r>
    </w:p>
    <w:p w:rsidR="00CB2A6B" w:rsidRPr="00CB2A6B" w:rsidRDefault="00CB2A6B" w:rsidP="00CB2A6B">
      <w:pPr>
        <w:spacing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Note:</w:t>
      </w:r>
      <w:r w:rsidRPr="00CB2A6B">
        <w:rPr>
          <w:rFonts w:ascii="Times New Roman" w:eastAsia="Times New Roman" w:hAnsi="Times New Roman" w:cs="Times New Roman"/>
          <w:sz w:val="24"/>
          <w:szCs w:val="24"/>
        </w:rPr>
        <w:t xml:space="preserve"> Final gap counts should be updated directly from the Dashboard sheet in the SOC 2 Readiness &amp; Controls Tracker immediately before management approval of this report.</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6. Key Findings</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6.1 Governance and Control Ownership</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has not previously operated a formal compliance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Although employees perform security-related activities, security responsibilities, control ownership, evidence requirements, and management oversight are not consistently documented.</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Business Impact:</w:t>
      </w:r>
      <w:r w:rsidRPr="00CB2A6B">
        <w:rPr>
          <w:rFonts w:ascii="Times New Roman" w:eastAsia="Times New Roman" w:hAnsi="Times New Roman" w:cs="Times New Roman"/>
          <w:sz w:val="24"/>
          <w:szCs w:val="24"/>
        </w:rPr>
        <w:t xml:space="preserve"> The organization may have effective activities in practice but may be unable to demonstrate clear accountability and consistent oversight to an external auditor.</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Recommended Action:</w:t>
      </w:r>
      <w:r w:rsidRPr="00CB2A6B">
        <w:rPr>
          <w:rFonts w:ascii="Times New Roman" w:eastAsia="Times New Roman" w:hAnsi="Times New Roman" w:cs="Times New Roman"/>
          <w:sz w:val="24"/>
          <w:szCs w:val="24"/>
        </w:rPr>
        <w:t xml:space="preserve"> Establish formal security governance, assign control owners, and create a documented control library.</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6.2 Risk Management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does not currently have a mature, formalized information security risk assessment process.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Risks are not consistently documented, scored, assigned, and tracked through a formal risk register and treatment process.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lastRenderedPageBreak/>
        <w:t>Business Impact:</w:t>
      </w:r>
      <w:r w:rsidRPr="00CB2A6B">
        <w:rPr>
          <w:rFonts w:ascii="Times New Roman" w:eastAsia="Times New Roman" w:hAnsi="Times New Roman" w:cs="Times New Roman"/>
          <w:sz w:val="24"/>
          <w:szCs w:val="24"/>
        </w:rPr>
        <w:t xml:space="preserve"> Management may lack a consistent method for identifying and prioritizing security risks.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Recommended Action:</w:t>
      </w:r>
      <w:r w:rsidRPr="00CB2A6B">
        <w:rPr>
          <w:rFonts w:ascii="Times New Roman" w:eastAsia="Times New Roman" w:hAnsi="Times New Roman" w:cs="Times New Roman"/>
          <w:sz w:val="24"/>
          <w:szCs w:val="24"/>
        </w:rPr>
        <w:t xml:space="preserve"> Implement a formal risk assessment methodology, risk register, and risk treatment process.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6.3 Access Management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already has strong technical access controls.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However, user access reviews are performed inconsistently and do not follow a fixed recurring schedule.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Business Impact:</w:t>
      </w:r>
      <w:r w:rsidRPr="00CB2A6B">
        <w:rPr>
          <w:rFonts w:ascii="Times New Roman" w:eastAsia="Times New Roman" w:hAnsi="Times New Roman" w:cs="Times New Roman"/>
          <w:sz w:val="24"/>
          <w:szCs w:val="24"/>
        </w:rPr>
        <w:t xml:space="preserve">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may be unable to demonstrate that access remains appropriate over time.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Recommended Action:</w:t>
      </w:r>
      <w:r w:rsidRPr="00CB2A6B">
        <w:rPr>
          <w:rFonts w:ascii="Times New Roman" w:eastAsia="Times New Roman" w:hAnsi="Times New Roman" w:cs="Times New Roman"/>
          <w:sz w:val="24"/>
          <w:szCs w:val="24"/>
        </w:rPr>
        <w:t xml:space="preserve"> Establish quarterly access reviews with documented approval, review evidence, and remediation tracking.</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6.4 Incident Response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does not currently have a formal, approved, and tested Incident Response Plan.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Informal response activities may exist, but responsibilities, escalation procedures, communications, and recovery activities have not been documented and tested as a formal process.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Business Impact:</w:t>
      </w:r>
      <w:r w:rsidRPr="00CB2A6B">
        <w:rPr>
          <w:rFonts w:ascii="Times New Roman" w:eastAsia="Times New Roman" w:hAnsi="Times New Roman" w:cs="Times New Roman"/>
          <w:sz w:val="24"/>
          <w:szCs w:val="24"/>
        </w:rPr>
        <w:t xml:space="preserve"> A security incident could result in inconsistent response and delayed decision-making.</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Recommended Action:</w:t>
      </w:r>
      <w:r w:rsidRPr="00CB2A6B">
        <w:rPr>
          <w:rFonts w:ascii="Times New Roman" w:eastAsia="Times New Roman" w:hAnsi="Times New Roman" w:cs="Times New Roman"/>
          <w:sz w:val="24"/>
          <w:szCs w:val="24"/>
        </w:rPr>
        <w:t xml:space="preserve"> Develop and approve an Incident Response Plan and conduct a tabletop exercise.</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6.5 Vendor Risk Management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does not currently have a formal vendor risk management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organization relies on important third-party services, including AWS and Microsoft 365, but vendor risk classification, security assessment, and ongoing review processes are not formally established.</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lastRenderedPageBreak/>
        <w:t>Business Impact:</w:t>
      </w:r>
      <w:r w:rsidRPr="00CB2A6B">
        <w:rPr>
          <w:rFonts w:ascii="Times New Roman" w:eastAsia="Times New Roman" w:hAnsi="Times New Roman" w:cs="Times New Roman"/>
          <w:sz w:val="24"/>
          <w:szCs w:val="24"/>
        </w:rPr>
        <w:t xml:space="preserve"> Risks introduced by important service providers may not be consistently identified or monitored.</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Recommended Action:</w:t>
      </w:r>
      <w:r w:rsidRPr="00CB2A6B">
        <w:rPr>
          <w:rFonts w:ascii="Times New Roman" w:eastAsia="Times New Roman" w:hAnsi="Times New Roman" w:cs="Times New Roman"/>
          <w:sz w:val="24"/>
          <w:szCs w:val="24"/>
        </w:rPr>
        <w:t xml:space="preserve"> Create a vendor inventory, establish risk tiers, perform security assessments, and conduct periodic reviews of higher-risk vendors.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7. Top Priority Remediation Items</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Priority 1 — Formal Incident Response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Related Criteria:</w:t>
      </w:r>
      <w:r w:rsidRPr="00CB2A6B">
        <w:rPr>
          <w:rFonts w:ascii="Times New Roman" w:eastAsia="Times New Roman" w:hAnsi="Times New Roman" w:cs="Times New Roman"/>
          <w:sz w:val="24"/>
          <w:szCs w:val="24"/>
        </w:rPr>
        <w:t xml:space="preserve"> CC7.3, CC7.4, CC7.5</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Owner:</w:t>
      </w:r>
      <w:r w:rsidRPr="00CB2A6B">
        <w:rPr>
          <w:rFonts w:ascii="Times New Roman" w:eastAsia="Times New Roman" w:hAnsi="Times New Roman" w:cs="Times New Roman"/>
          <w:sz w:val="24"/>
          <w:szCs w:val="24"/>
        </w:rPr>
        <w:t xml:space="preserve"> CISO</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Severity:</w:t>
      </w:r>
      <w:r w:rsidRPr="00CB2A6B">
        <w:rPr>
          <w:rFonts w:ascii="Times New Roman" w:eastAsia="Times New Roman" w:hAnsi="Times New Roman" w:cs="Times New Roman"/>
          <w:sz w:val="24"/>
          <w:szCs w:val="24"/>
        </w:rPr>
        <w:t xml:space="preserve"> High</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Develop, approve, and communicate a formal Incident Response Plan covering:</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Incident identification</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Severity classification</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Escalation</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Internal and external communication</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Investigation</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Containment</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Recovery</w:t>
      </w:r>
    </w:p>
    <w:p w:rsidR="00CB2A6B" w:rsidRPr="00CB2A6B" w:rsidRDefault="00CB2A6B" w:rsidP="00CB2A6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Post-incident review</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plan should be tested through a tabletop exercise.</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Priority 2 — Vendor Risk Management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Related Criteria:</w:t>
      </w:r>
      <w:r w:rsidRPr="00CB2A6B">
        <w:rPr>
          <w:rFonts w:ascii="Times New Roman" w:eastAsia="Times New Roman" w:hAnsi="Times New Roman" w:cs="Times New Roman"/>
          <w:sz w:val="24"/>
          <w:szCs w:val="24"/>
        </w:rPr>
        <w:t xml:space="preserve"> CC9.2</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Owner:</w:t>
      </w:r>
      <w:r w:rsidRPr="00CB2A6B">
        <w:rPr>
          <w:rFonts w:ascii="Times New Roman" w:eastAsia="Times New Roman" w:hAnsi="Times New Roman" w:cs="Times New Roman"/>
          <w:sz w:val="24"/>
          <w:szCs w:val="24"/>
        </w:rPr>
        <w:t xml:space="preserve"> GRC Analyst</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Severity:</w:t>
      </w:r>
      <w:r w:rsidRPr="00CB2A6B">
        <w:rPr>
          <w:rFonts w:ascii="Times New Roman" w:eastAsia="Times New Roman" w:hAnsi="Times New Roman" w:cs="Times New Roman"/>
          <w:sz w:val="24"/>
          <w:szCs w:val="24"/>
        </w:rPr>
        <w:t xml:space="preserve"> High</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Implement:</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inventory</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risk classification</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assessment process</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Contract security requirements</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Periodic vendor reviews</w:t>
      </w:r>
    </w:p>
    <w:p w:rsidR="00CB2A6B" w:rsidRPr="00CB2A6B" w:rsidRDefault="00CB2A6B" w:rsidP="00CB2A6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Collection of relevant third-party assurance reports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Priority 3 — Formal Information Security Risk Assessment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Related Criteria:</w:t>
      </w:r>
      <w:r w:rsidRPr="00CB2A6B">
        <w:rPr>
          <w:rFonts w:ascii="Times New Roman" w:eastAsia="Times New Roman" w:hAnsi="Times New Roman" w:cs="Times New Roman"/>
          <w:sz w:val="24"/>
          <w:szCs w:val="24"/>
        </w:rPr>
        <w:t xml:space="preserve"> CC3.1, CC3.2, CC9.1</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Owner:</w:t>
      </w:r>
      <w:r w:rsidRPr="00CB2A6B">
        <w:rPr>
          <w:rFonts w:ascii="Times New Roman" w:eastAsia="Times New Roman" w:hAnsi="Times New Roman" w:cs="Times New Roman"/>
          <w:sz w:val="24"/>
          <w:szCs w:val="24"/>
        </w:rPr>
        <w:t xml:space="preserve"> GRC Analyst</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Severity:</w:t>
      </w:r>
      <w:r w:rsidRPr="00CB2A6B">
        <w:rPr>
          <w:rFonts w:ascii="Times New Roman" w:eastAsia="Times New Roman" w:hAnsi="Times New Roman" w:cs="Times New Roman"/>
          <w:sz w:val="24"/>
          <w:szCs w:val="24"/>
        </w:rPr>
        <w:t xml:space="preserve"> High</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Create a formal risk management process that identifies, assesses, prioritizes, treats, and tracks information security risks.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Priority 4 — Formal Governance and Control Ownership</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Related Criteria:</w:t>
      </w:r>
      <w:r w:rsidRPr="00CB2A6B">
        <w:rPr>
          <w:rFonts w:ascii="Times New Roman" w:eastAsia="Times New Roman" w:hAnsi="Times New Roman" w:cs="Times New Roman"/>
          <w:sz w:val="24"/>
          <w:szCs w:val="24"/>
        </w:rPr>
        <w:t xml:space="preserve"> CC1.1, CC1.2, CC1.3, CC5.1</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Owner:</w:t>
      </w:r>
      <w:r w:rsidRPr="00CB2A6B">
        <w:rPr>
          <w:rFonts w:ascii="Times New Roman" w:eastAsia="Times New Roman" w:hAnsi="Times New Roman" w:cs="Times New Roman"/>
          <w:sz w:val="24"/>
          <w:szCs w:val="24"/>
        </w:rPr>
        <w:t xml:space="preserve"> CISO / GRC Analyst</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Severity:</w:t>
      </w:r>
      <w:r w:rsidRPr="00CB2A6B">
        <w:rPr>
          <w:rFonts w:ascii="Times New Roman" w:eastAsia="Times New Roman" w:hAnsi="Times New Roman" w:cs="Times New Roman"/>
          <w:sz w:val="24"/>
          <w:szCs w:val="24"/>
        </w:rPr>
        <w:t xml:space="preserve"> High</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Establish:</w:t>
      </w:r>
    </w:p>
    <w:p w:rsidR="00CB2A6B" w:rsidRPr="00CB2A6B" w:rsidRDefault="00CB2A6B" w:rsidP="00CB2A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governance responsibilities</w:t>
      </w:r>
    </w:p>
    <w:p w:rsidR="00CB2A6B" w:rsidRPr="00CB2A6B" w:rsidRDefault="00CB2A6B" w:rsidP="00CB2A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ownership</w:t>
      </w:r>
    </w:p>
    <w:p w:rsidR="00CB2A6B" w:rsidRPr="00CB2A6B" w:rsidRDefault="00CB2A6B" w:rsidP="00CB2A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Management review</w:t>
      </w:r>
    </w:p>
    <w:p w:rsidR="00CB2A6B" w:rsidRPr="00CB2A6B" w:rsidRDefault="00CB2A6B" w:rsidP="00CB2A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documentation</w:t>
      </w:r>
    </w:p>
    <w:p w:rsidR="00CB2A6B" w:rsidRPr="00CB2A6B" w:rsidRDefault="00CB2A6B" w:rsidP="00CB2A6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requirements</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Priority 5 — Consistent Access Reviews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Related Criteria:</w:t>
      </w:r>
      <w:r w:rsidRPr="00CB2A6B">
        <w:rPr>
          <w:rFonts w:ascii="Times New Roman" w:eastAsia="Times New Roman" w:hAnsi="Times New Roman" w:cs="Times New Roman"/>
          <w:sz w:val="24"/>
          <w:szCs w:val="24"/>
        </w:rPr>
        <w:t xml:space="preserve"> CC6.3</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Owner:</w:t>
      </w:r>
      <w:r w:rsidRPr="00CB2A6B">
        <w:rPr>
          <w:rFonts w:ascii="Times New Roman" w:eastAsia="Times New Roman" w:hAnsi="Times New Roman" w:cs="Times New Roman"/>
          <w:sz w:val="24"/>
          <w:szCs w:val="24"/>
        </w:rPr>
        <w:t xml:space="preserve"> IT Director</w:t>
      </w:r>
      <w:r w:rsidRPr="00CB2A6B">
        <w:rPr>
          <w:rFonts w:ascii="Times New Roman" w:eastAsia="Times New Roman" w:hAnsi="Times New Roman" w:cs="Times New Roman"/>
          <w:sz w:val="24"/>
          <w:szCs w:val="24"/>
        </w:rPr>
        <w:br/>
      </w:r>
      <w:r w:rsidRPr="00CB2A6B">
        <w:rPr>
          <w:rFonts w:ascii="Times New Roman" w:eastAsia="Times New Roman" w:hAnsi="Times New Roman" w:cs="Times New Roman"/>
          <w:b/>
          <w:bCs/>
          <w:sz w:val="24"/>
          <w:szCs w:val="24"/>
        </w:rPr>
        <w:t>Severity:</w:t>
      </w:r>
      <w:r w:rsidRPr="00CB2A6B">
        <w:rPr>
          <w:rFonts w:ascii="Times New Roman" w:eastAsia="Times New Roman" w:hAnsi="Times New Roman" w:cs="Times New Roman"/>
          <w:sz w:val="24"/>
          <w:szCs w:val="24"/>
        </w:rPr>
        <w:t xml:space="preserve"> Medium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Establish a formal quarterly review process for access to in-scope systems.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Each review should include:</w:t>
      </w:r>
    </w:p>
    <w:p w:rsidR="00CB2A6B" w:rsidRPr="00CB2A6B" w:rsidRDefault="00CB2A6B" w:rsidP="00CB2A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User access listing</w:t>
      </w:r>
    </w:p>
    <w:p w:rsidR="00CB2A6B" w:rsidRPr="00CB2A6B" w:rsidRDefault="00CB2A6B" w:rsidP="00CB2A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Reviewer identity</w:t>
      </w:r>
    </w:p>
    <w:p w:rsidR="00CB2A6B" w:rsidRPr="00CB2A6B" w:rsidRDefault="00CB2A6B" w:rsidP="00CB2A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Approval or removal decisions</w:t>
      </w:r>
    </w:p>
    <w:p w:rsidR="00CB2A6B" w:rsidRPr="00CB2A6B" w:rsidRDefault="00CB2A6B" w:rsidP="00CB2A6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of completed remediation</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lastRenderedPageBreak/>
        <w:t>8. Recommended Remediation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5392"/>
        <w:gridCol w:w="1788"/>
      </w:tblGrid>
      <w:tr w:rsidR="00CB2A6B" w:rsidRPr="00CB2A6B" w:rsidTr="00CB2A6B">
        <w:trPr>
          <w:tblHeader/>
          <w:tblCellSpacing w:w="15" w:type="dxa"/>
        </w:trPr>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Phase</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Activity</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Target</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1</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Establish governance and assign control owners</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First 30 days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2</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Implement risk assessment and vendor risk programs</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Days 30–60</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3</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Complete Incident Response Plan and tabletop exercise</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Days 30–60</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4</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Formalize change management and evidence processes</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Days 45–75</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5</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Validate control operation and evidence readiness</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Days 60–90</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Phase 6</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Begin Type II observation period</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After remediation</w:t>
            </w:r>
          </w:p>
        </w:tc>
      </w:tr>
    </w:tbl>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9. Recommended Path Forward</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Recommendation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Proceed directly to SOC 2 Type II after remediation.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should first complete the highest-priority remediation activities and establish the required controls.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Once the controls are implemented, the organization should begin a minimum six-month observation period during which control activities are performed consistently and supporting evidence is collected.</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Justification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 Type II examination provides evidence that controls operated effectively over a period of time rather than only demonstrating that controls existed on a single date.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Because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is pursuing SOC 2 to support enterprise customer opportunities and the assessment scenario includes a six-month observation requirement, pursuing Type II directly is more efficient than completing a separate Type I examination first.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 Type I examination may be considered if a specific customer requires an earlier point-in-time report, but it should not be pursued solely as a substitute for building sustainable control operations.</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10. Evidence Readiness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should begin collecting evidence as soon as controls become operational.</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lastRenderedPageBreak/>
        <w:t>Priority evidence areas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6327"/>
      </w:tblGrid>
      <w:tr w:rsidR="00CB2A6B" w:rsidRPr="00CB2A6B" w:rsidTr="00CB2A6B">
        <w:trPr>
          <w:tblHeader/>
          <w:tblCellSpacing w:w="15" w:type="dxa"/>
        </w:trPr>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Control Area</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Evidence</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Access Management</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Quarterly access review records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MFA</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Identity provider configuration and enrollment reports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Offboarding</w:t>
            </w:r>
            <w:proofErr w:type="spellEnd"/>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Account disablement records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Security Monitoring</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Monitoring review records and security event evidence</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Change Management</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Approved change tickets and testing records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Risk Management</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Risk register and treatment updates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Risk</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inventory, assessments, and third-party assurance reports</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Incident Response</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Approved plan, tabletop exercise evidence, and incident records</w:t>
            </w:r>
          </w:p>
        </w:tc>
      </w:tr>
    </w:tbl>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should be collected throughout the observation period rather than reconstructed at the end.</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t>11. Overall Readiness Assessment</w:t>
      </w:r>
    </w:p>
    <w:p w:rsidR="00CB2A6B" w:rsidRPr="00CB2A6B" w:rsidRDefault="00CB2A6B" w:rsidP="00CB2A6B">
      <w:pPr>
        <w:spacing w:before="100" w:beforeAutospacing="1" w:after="100" w:afterAutospacing="1" w:line="240" w:lineRule="auto"/>
        <w:outlineLvl w:val="2"/>
        <w:rPr>
          <w:rFonts w:ascii="Times New Roman" w:eastAsia="Times New Roman" w:hAnsi="Times New Roman" w:cs="Times New Roman"/>
          <w:b/>
          <w:bCs/>
          <w:sz w:val="27"/>
          <w:szCs w:val="27"/>
        </w:rPr>
      </w:pPr>
      <w:r w:rsidRPr="00CB2A6B">
        <w:rPr>
          <w:rFonts w:ascii="Times New Roman" w:eastAsia="Times New Roman" w:hAnsi="Times New Roman" w:cs="Times New Roman"/>
          <w:b/>
          <w:bCs/>
          <w:sz w:val="27"/>
          <w:szCs w:val="27"/>
        </w:rPr>
        <w:t>Current Status: NOT READY FOR EXAMINATION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has a solid foundation for pursuing SOC 2, particularly because important technical security controls are already in place.</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However, the organization currently requires additional maturity in:</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Governance</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Risk management</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ownership</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Incident response</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Vendor risk management</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Access review consistency</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Control monitoring</w:t>
      </w:r>
    </w:p>
    <w:p w:rsidR="00CB2A6B" w:rsidRPr="00CB2A6B" w:rsidRDefault="00CB2A6B" w:rsidP="00CB2A6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Evidence management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The identified gaps are remediable and do not indicate that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must redesign its entire security environment.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primary requirement is to formalize existing responsibilities and processes, establish missing governance activities, and demonstrate that controls operate consistently over time.</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lastRenderedPageBreak/>
        <w:t>12. Conclusion</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Analytics is not currently ready to begin a SOC 2 examination, but it is well positioned to become ready through a focused remediation program.</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The most important actions are to establish formal security governance, implement a structured risk and vendor management program, formalize and test incident response, and create consistent evidence collection processes.</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Following remediation,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should begin a six-month Type II observation period.</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Based on the current assessment, the organization should pursue a focused Security-only SOC 2 scope and avoid adding additional Trust Services Criteria without a clear business or contractual requirement.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 xml:space="preserve">If management completes the remediation plan and maintains consistent evidence collection throughout the observation period, </w:t>
      </w:r>
      <w:proofErr w:type="spellStart"/>
      <w:r w:rsidRPr="00CB2A6B">
        <w:rPr>
          <w:rFonts w:ascii="Times New Roman" w:eastAsia="Times New Roman" w:hAnsi="Times New Roman" w:cs="Times New Roman"/>
          <w:sz w:val="24"/>
          <w:szCs w:val="24"/>
        </w:rPr>
        <w:t>BrightLoop</w:t>
      </w:r>
      <w:proofErr w:type="spellEnd"/>
      <w:r w:rsidRPr="00CB2A6B">
        <w:rPr>
          <w:rFonts w:ascii="Times New Roman" w:eastAsia="Times New Roman" w:hAnsi="Times New Roman" w:cs="Times New Roman"/>
          <w:sz w:val="24"/>
          <w:szCs w:val="24"/>
        </w:rPr>
        <w:t xml:space="preserve"> should be positioned to pursue a SOC 2 Type II examination.</w:t>
      </w:r>
    </w:p>
    <w:p w:rsidR="00CB2A6B" w:rsidRPr="00CB2A6B" w:rsidRDefault="00CB2A6B" w:rsidP="00CB2A6B">
      <w:pPr>
        <w:spacing w:after="0" w:line="240" w:lineRule="auto"/>
        <w:rPr>
          <w:rFonts w:ascii="Times New Roman" w:eastAsia="Times New Roman" w:hAnsi="Times New Roman" w:cs="Times New Roman"/>
          <w:sz w:val="24"/>
          <w:szCs w:val="24"/>
        </w:rPr>
      </w:pPr>
    </w:p>
    <w:p w:rsidR="00CB2A6B" w:rsidRDefault="00CB2A6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lastRenderedPageBreak/>
        <w:t>Approval</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 xml:space="preserve">Prepared </w:t>
      </w:r>
      <w:proofErr w:type="gramStart"/>
      <w:r w:rsidRPr="00CB2A6B">
        <w:rPr>
          <w:rFonts w:ascii="Times New Roman" w:eastAsia="Times New Roman" w:hAnsi="Times New Roman" w:cs="Times New Roman"/>
          <w:b/>
          <w:bCs/>
          <w:sz w:val="24"/>
          <w:szCs w:val="24"/>
        </w:rPr>
        <w:t>By</w:t>
      </w:r>
      <w:proofErr w:type="gramEnd"/>
      <w:r w:rsidRPr="00CB2A6B">
        <w:rPr>
          <w:rFonts w:ascii="Times New Roman" w:eastAsia="Times New Roman" w:hAnsi="Times New Roman" w:cs="Times New Roman"/>
          <w:b/>
          <w:bCs/>
          <w:sz w:val="24"/>
          <w:szCs w:val="24"/>
        </w:rPr>
        <w:t>:</w:t>
      </w:r>
      <w:r w:rsidRPr="00CB2A6B">
        <w:rPr>
          <w:rFonts w:ascii="Times New Roman" w:eastAsia="Times New Roman" w:hAnsi="Times New Roman" w:cs="Times New Roman"/>
          <w:sz w:val="24"/>
          <w:szCs w:val="24"/>
        </w:rPr>
        <w:t xml:space="preserve"> ______</w:t>
      </w:r>
      <w:r>
        <w:rPr>
          <w:rFonts w:ascii="Times New Roman" w:eastAsia="Times New Roman" w:hAnsi="Times New Roman" w:cs="Times New Roman"/>
          <w:sz w:val="24"/>
          <w:szCs w:val="24"/>
        </w:rPr>
        <w:t>Aryan Neupane</w:t>
      </w:r>
      <w:r w:rsidRPr="00CB2A6B">
        <w:rPr>
          <w:rFonts w:ascii="Times New Roman" w:eastAsia="Times New Roman" w:hAnsi="Times New Roman" w:cs="Times New Roman"/>
          <w:sz w:val="24"/>
          <w:szCs w:val="24"/>
        </w:rPr>
        <w:t>________________________</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Title:</w:t>
      </w:r>
      <w:r w:rsidRPr="00CB2A6B">
        <w:rPr>
          <w:rFonts w:ascii="Times New Roman" w:eastAsia="Times New Roman" w:hAnsi="Times New Roman" w:cs="Times New Roman"/>
          <w:sz w:val="24"/>
          <w:szCs w:val="24"/>
        </w:rPr>
        <w:t xml:space="preserve"> GRC Analyst</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Signature:</w:t>
      </w:r>
      <w:r w:rsidRPr="00CB2A6B">
        <w:rPr>
          <w:rFonts w:ascii="Times New Roman" w:eastAsia="Times New Roman" w:hAnsi="Times New Roman" w:cs="Times New Roman"/>
          <w:sz w:val="24"/>
          <w:szCs w:val="24"/>
        </w:rPr>
        <w:t xml:space="preserve"> _______</w:t>
      </w:r>
      <w:r>
        <w:rPr>
          <w:rFonts w:ascii="Times New Roman" w:eastAsia="Times New Roman" w:hAnsi="Times New Roman" w:cs="Times New Roman"/>
          <w:sz w:val="24"/>
          <w:szCs w:val="24"/>
        </w:rPr>
        <w:t>Aryan</w:t>
      </w:r>
      <w:r w:rsidRPr="00CB2A6B">
        <w:rPr>
          <w:rFonts w:ascii="Times New Roman" w:eastAsia="Times New Roman" w:hAnsi="Times New Roman" w:cs="Times New Roman"/>
          <w:sz w:val="24"/>
          <w:szCs w:val="24"/>
        </w:rPr>
        <w:t>__________________________</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Date:</w:t>
      </w:r>
      <w:r w:rsidRPr="00CB2A6B">
        <w:rPr>
          <w:rFonts w:ascii="Times New Roman" w:eastAsia="Times New Roman" w:hAnsi="Times New Roman" w:cs="Times New Roman"/>
          <w:sz w:val="24"/>
          <w:szCs w:val="24"/>
        </w:rPr>
        <w:t xml:space="preserve"> __</w:t>
      </w:r>
      <w:r>
        <w:rPr>
          <w:rFonts w:ascii="Times New Roman" w:eastAsia="Times New Roman" w:hAnsi="Times New Roman" w:cs="Times New Roman"/>
          <w:sz w:val="24"/>
          <w:szCs w:val="24"/>
        </w:rPr>
        <w:t>07-26-2026</w:t>
      </w:r>
      <w:r w:rsidRPr="00CB2A6B">
        <w:rPr>
          <w:rFonts w:ascii="Times New Roman" w:eastAsia="Times New Roman" w:hAnsi="Times New Roman" w:cs="Times New Roman"/>
          <w:sz w:val="24"/>
          <w:szCs w:val="24"/>
        </w:rPr>
        <w:t>___________________________________</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 xml:space="preserve">Approved </w:t>
      </w:r>
      <w:proofErr w:type="gramStart"/>
      <w:r w:rsidRPr="00CB2A6B">
        <w:rPr>
          <w:rFonts w:ascii="Times New Roman" w:eastAsia="Times New Roman" w:hAnsi="Times New Roman" w:cs="Times New Roman"/>
          <w:b/>
          <w:bCs/>
          <w:sz w:val="24"/>
          <w:szCs w:val="24"/>
        </w:rPr>
        <w:t>By</w:t>
      </w:r>
      <w:proofErr w:type="gramEnd"/>
      <w:r w:rsidRPr="00CB2A6B">
        <w:rPr>
          <w:rFonts w:ascii="Times New Roman" w:eastAsia="Times New Roman" w:hAnsi="Times New Roman" w:cs="Times New Roman"/>
          <w:b/>
          <w:bCs/>
          <w:sz w:val="24"/>
          <w:szCs w:val="24"/>
        </w:rPr>
        <w:t>:</w:t>
      </w:r>
      <w:r w:rsidRPr="00CB2A6B">
        <w:rPr>
          <w:rFonts w:ascii="Times New Roman" w:eastAsia="Times New Roman" w:hAnsi="Times New Roman" w:cs="Times New Roman"/>
          <w:sz w:val="24"/>
          <w:szCs w:val="24"/>
        </w:rPr>
        <w:t xml:space="preserve"> ______________________________</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Title:</w:t>
      </w:r>
      <w:r w:rsidRPr="00CB2A6B">
        <w:rPr>
          <w:rFonts w:ascii="Times New Roman" w:eastAsia="Times New Roman" w:hAnsi="Times New Roman" w:cs="Times New Roman"/>
          <w:sz w:val="24"/>
          <w:szCs w:val="24"/>
        </w:rPr>
        <w:t xml:space="preserve"> CISO / Executive Approver</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Signature:</w:t>
      </w:r>
      <w:r w:rsidRPr="00CB2A6B">
        <w:rPr>
          <w:rFonts w:ascii="Times New Roman" w:eastAsia="Times New Roman" w:hAnsi="Times New Roman" w:cs="Times New Roman"/>
          <w:sz w:val="24"/>
          <w:szCs w:val="24"/>
        </w:rPr>
        <w:t xml:space="preserve"> _________________________________</w:t>
      </w:r>
    </w:p>
    <w:p w:rsidR="00CB2A6B" w:rsidRPr="00CB2A6B" w:rsidRDefault="00CB2A6B" w:rsidP="00CB2A6B">
      <w:pPr>
        <w:spacing w:before="100" w:beforeAutospacing="1" w:after="100" w:afterAutospacing="1"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b/>
          <w:bCs/>
          <w:sz w:val="24"/>
          <w:szCs w:val="24"/>
        </w:rPr>
        <w:t>Date:</w:t>
      </w:r>
      <w:r w:rsidRPr="00CB2A6B">
        <w:rPr>
          <w:rFonts w:ascii="Times New Roman" w:eastAsia="Times New Roman" w:hAnsi="Times New Roman" w:cs="Times New Roman"/>
          <w:sz w:val="24"/>
          <w:szCs w:val="24"/>
        </w:rPr>
        <w:t xml:space="preserve"> _____________________________________</w:t>
      </w:r>
    </w:p>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pict>
          <v:rect id="_x0000_i1048" style="width:0;height:1.5pt" o:hralign="center" o:hrstd="t" o:hr="t" fillcolor="#a0a0a0" stroked="f"/>
        </w:pict>
      </w:r>
    </w:p>
    <w:p w:rsidR="00CB2A6B" w:rsidRDefault="00CB2A6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CB2A6B" w:rsidRPr="00CB2A6B" w:rsidRDefault="00CB2A6B" w:rsidP="00CB2A6B">
      <w:pPr>
        <w:spacing w:before="100" w:beforeAutospacing="1" w:after="100" w:afterAutospacing="1" w:line="240" w:lineRule="auto"/>
        <w:outlineLvl w:val="1"/>
        <w:rPr>
          <w:rFonts w:ascii="Times New Roman" w:eastAsia="Times New Roman" w:hAnsi="Times New Roman" w:cs="Times New Roman"/>
          <w:b/>
          <w:bCs/>
          <w:sz w:val="36"/>
          <w:szCs w:val="36"/>
        </w:rPr>
      </w:pPr>
      <w:r w:rsidRPr="00CB2A6B">
        <w:rPr>
          <w:rFonts w:ascii="Times New Roman" w:eastAsia="Times New Roman" w:hAnsi="Times New Roman" w:cs="Times New Roman"/>
          <w:b/>
          <w:bCs/>
          <w:sz w:val="36"/>
          <w:szCs w:val="36"/>
        </w:rPr>
        <w:lastRenderedPageBreak/>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045"/>
        <w:gridCol w:w="3552"/>
        <w:gridCol w:w="1228"/>
        <w:gridCol w:w="2660"/>
      </w:tblGrid>
      <w:tr w:rsidR="00CB2A6B" w:rsidRPr="00CB2A6B" w:rsidTr="00CB2A6B">
        <w:trPr>
          <w:tblHeader/>
          <w:tblCellSpacing w:w="15" w:type="dxa"/>
        </w:trPr>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Version</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Date</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Description</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Author</w:t>
            </w:r>
          </w:p>
        </w:tc>
        <w:tc>
          <w:tcPr>
            <w:tcW w:w="0" w:type="auto"/>
            <w:vAlign w:val="center"/>
            <w:hideMark/>
          </w:tcPr>
          <w:p w:rsidR="00CB2A6B" w:rsidRPr="00CB2A6B" w:rsidRDefault="00CB2A6B" w:rsidP="00CB2A6B">
            <w:pPr>
              <w:spacing w:after="0" w:line="240" w:lineRule="auto"/>
              <w:jc w:val="center"/>
              <w:rPr>
                <w:rFonts w:ascii="Times New Roman" w:eastAsia="Times New Roman" w:hAnsi="Times New Roman" w:cs="Times New Roman"/>
                <w:b/>
                <w:bCs/>
                <w:sz w:val="24"/>
                <w:szCs w:val="24"/>
              </w:rPr>
            </w:pPr>
            <w:r w:rsidRPr="00CB2A6B">
              <w:rPr>
                <w:rFonts w:ascii="Times New Roman" w:eastAsia="Times New Roman" w:hAnsi="Times New Roman" w:cs="Times New Roman"/>
                <w:b/>
                <w:bCs/>
                <w:sz w:val="24"/>
                <w:szCs w:val="24"/>
              </w:rPr>
              <w:t>Approver</w:t>
            </w:r>
          </w:p>
        </w:tc>
      </w:tr>
      <w:tr w:rsidR="00CB2A6B" w:rsidRPr="00CB2A6B" w:rsidTr="00CB2A6B">
        <w:trPr>
          <w:tblCellSpacing w:w="15" w:type="dxa"/>
        </w:trPr>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1.0</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2026-07-26</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Initial SOC 2 Readiness Assessment Report</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GRC Analyst</w:t>
            </w:r>
          </w:p>
        </w:tc>
        <w:tc>
          <w:tcPr>
            <w:tcW w:w="0" w:type="auto"/>
            <w:vAlign w:val="center"/>
            <w:hideMark/>
          </w:tcPr>
          <w:p w:rsidR="00CB2A6B" w:rsidRPr="00CB2A6B" w:rsidRDefault="00CB2A6B" w:rsidP="00CB2A6B">
            <w:pPr>
              <w:spacing w:after="0" w:line="240" w:lineRule="auto"/>
              <w:rPr>
                <w:rFonts w:ascii="Times New Roman" w:eastAsia="Times New Roman" w:hAnsi="Times New Roman" w:cs="Times New Roman"/>
                <w:sz w:val="24"/>
                <w:szCs w:val="24"/>
              </w:rPr>
            </w:pPr>
            <w:r w:rsidRPr="00CB2A6B">
              <w:rPr>
                <w:rFonts w:ascii="Times New Roman" w:eastAsia="Times New Roman" w:hAnsi="Times New Roman" w:cs="Times New Roman"/>
                <w:sz w:val="24"/>
                <w:szCs w:val="24"/>
              </w:rPr>
              <w:t>CISO / Executive Management</w:t>
            </w:r>
          </w:p>
        </w:tc>
      </w:tr>
    </w:tbl>
    <w:p w:rsidR="004D5E91" w:rsidRDefault="004D5E91"/>
    <w:sectPr w:rsidR="004D5E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22668"/>
    <w:multiLevelType w:val="multilevel"/>
    <w:tmpl w:val="5EDC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61B1"/>
    <w:multiLevelType w:val="multilevel"/>
    <w:tmpl w:val="FADC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96D91"/>
    <w:multiLevelType w:val="multilevel"/>
    <w:tmpl w:val="249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F0803"/>
    <w:multiLevelType w:val="multilevel"/>
    <w:tmpl w:val="06D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C70A6"/>
    <w:multiLevelType w:val="multilevel"/>
    <w:tmpl w:val="DFFE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D086D"/>
    <w:multiLevelType w:val="multilevel"/>
    <w:tmpl w:val="F230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6715A"/>
    <w:multiLevelType w:val="multilevel"/>
    <w:tmpl w:val="944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D321F"/>
    <w:multiLevelType w:val="multilevel"/>
    <w:tmpl w:val="347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6E0AA6"/>
    <w:multiLevelType w:val="multilevel"/>
    <w:tmpl w:val="7BA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70AC5"/>
    <w:multiLevelType w:val="multilevel"/>
    <w:tmpl w:val="BE70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25F58"/>
    <w:multiLevelType w:val="multilevel"/>
    <w:tmpl w:val="D6D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9"/>
  </w:num>
  <w:num w:numId="4">
    <w:abstractNumId w:val="4"/>
  </w:num>
  <w:num w:numId="5">
    <w:abstractNumId w:val="3"/>
  </w:num>
  <w:num w:numId="6">
    <w:abstractNumId w:val="5"/>
  </w:num>
  <w:num w:numId="7">
    <w:abstractNumId w:val="10"/>
  </w:num>
  <w:num w:numId="8">
    <w:abstractNumId w:val="6"/>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A6B"/>
    <w:rsid w:val="004D5E91"/>
    <w:rsid w:val="00CB2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C419F"/>
  <w15:chartTrackingRefBased/>
  <w15:docId w15:val="{223ACD8D-2654-48B0-8A5C-2D41263E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2A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2A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2A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A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2A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2A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B2A6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2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286443">
      <w:bodyDiv w:val="1"/>
      <w:marLeft w:val="0"/>
      <w:marRight w:val="0"/>
      <w:marTop w:val="0"/>
      <w:marBottom w:val="0"/>
      <w:divBdr>
        <w:top w:val="none" w:sz="0" w:space="0" w:color="auto"/>
        <w:left w:val="none" w:sz="0" w:space="0" w:color="auto"/>
        <w:bottom w:val="none" w:sz="0" w:space="0" w:color="auto"/>
        <w:right w:val="none" w:sz="0" w:space="0" w:color="auto"/>
      </w:divBdr>
      <w:divsChild>
        <w:div w:id="85604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2010</Words>
  <Characters>11459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Neupane</dc:creator>
  <cp:keywords/>
  <dc:description/>
  <cp:lastModifiedBy>Aryan Neupane</cp:lastModifiedBy>
  <cp:revision>1</cp:revision>
  <cp:lastPrinted>2026-07-26T06:33:00Z</cp:lastPrinted>
  <dcterms:created xsi:type="dcterms:W3CDTF">2026-07-26T06:30:00Z</dcterms:created>
  <dcterms:modified xsi:type="dcterms:W3CDTF">2026-07-26T06:36:00Z</dcterms:modified>
</cp:coreProperties>
</file>