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2B2E" w:rsidRPr="001B2B2E" w:rsidRDefault="001B2B2E" w:rsidP="001B2B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SOC 2 Scoping </w:t>
      </w:r>
      <w:proofErr w:type="gramStart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:</w:t>
      </w:r>
      <w:proofErr w:type="gramEnd"/>
      <w:r w:rsidRPr="001B2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1B2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BrightLoop</w:t>
      </w:r>
      <w:proofErr w:type="spellEnd"/>
      <w:r w:rsidRPr="001B2B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Analytics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Owner: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GRC Analyst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br/>
      </w: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CISO / Executive Management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br/>
      </w: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br/>
      </w: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Approval Date: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2026-07-26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br/>
      </w: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Next Review: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Upon material system change or before each audit cycle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br/>
      </w: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System Boundary Version: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B2B2E">
        <w:rPr>
          <w:rFonts w:ascii="Times New Roman" w:eastAsia="Times New Roman" w:hAnsi="Times New Roman" w:cs="Times New Roman"/>
          <w:sz w:val="24"/>
          <w:szCs w:val="24"/>
        </w:rPr>
        <w:t>BrightLoop</w:t>
      </w:r>
      <w:proofErr w:type="spellEnd"/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Production Environment v1.0</w:t>
      </w:r>
    </w:p>
    <w:p w:rsidR="001B2B2E" w:rsidRPr="001B2B2E" w:rsidRDefault="001B2B2E" w:rsidP="001B2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B2E">
        <w:rPr>
          <w:rFonts w:ascii="Times New Roman" w:eastAsia="Times New Roman" w:hAnsi="Times New Roman" w:cs="Times New Roman"/>
          <w:b/>
          <w:bCs/>
          <w:sz w:val="36"/>
          <w:szCs w:val="36"/>
        </w:rPr>
        <w:t>Trust Services Criteria Selected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718"/>
        <w:gridCol w:w="5798"/>
      </w:tblGrid>
      <w:tr w:rsidR="001B2B2E" w:rsidRPr="001B2B2E" w:rsidTr="001B2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TSC</w:t>
            </w:r>
          </w:p>
        </w:tc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 Scope?</w:t>
            </w:r>
          </w:p>
        </w:tc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Business Justification</w:t>
            </w:r>
          </w:p>
        </w:tc>
      </w:tr>
      <w:tr w:rsidR="001B2B2E" w:rsidRPr="001B2B2E" w:rsidTr="001B2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Security (Common Criteria)</w:t>
            </w:r>
          </w:p>
        </w:tc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 /</w:t>
            </w: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Mandatory</w:t>
            </w:r>
          </w:p>
        </w:tc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2B2E">
              <w:rPr>
                <w:rFonts w:ascii="Times New Roman" w:eastAsia="Times New Roman" w:hAnsi="Times New Roman" w:cs="Times New Roman"/>
                <w:sz w:val="24"/>
                <w:szCs w:val="24"/>
              </w:rPr>
              <w:t>BrightLoop</w:t>
            </w:r>
            <w:proofErr w:type="spellEnd"/>
            <w:r w:rsidRPr="001B2B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a B2B SaaS provider pursuing SOC 2 to support pending enterprise customer deals. Security is the primary criterion for evaluating whether the company's systems are protected against unauthorized access, use, or modification.</w:t>
            </w:r>
          </w:p>
        </w:tc>
      </w:tr>
      <w:tr w:rsidR="001B2B2E" w:rsidRPr="001B2B2E" w:rsidTr="001B2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/</w:t>
            </w: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Future Consideration</w:t>
            </w:r>
          </w:p>
        </w:tc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2E">
              <w:rPr>
                <w:rFonts w:ascii="Times New Roman" w:eastAsia="Times New Roman" w:hAnsi="Times New Roman" w:cs="Times New Roman"/>
                <w:sz w:val="24"/>
                <w:szCs w:val="24"/>
              </w:rPr>
              <w:t>The current business context does not identify a specific contractual uptime or availability requirement requiring Availability to be included in the initial SOC 2 scope. This criterion may be added if future enterprise contracts establish formal availability commitments.</w:t>
            </w:r>
          </w:p>
        </w:tc>
      </w:tr>
      <w:tr w:rsidR="001B2B2E" w:rsidRPr="001B2B2E" w:rsidTr="001B2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Processing Integrity</w:t>
            </w:r>
          </w:p>
        </w:tc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2B2E">
              <w:rPr>
                <w:rFonts w:ascii="Times New Roman" w:eastAsia="Times New Roman" w:hAnsi="Times New Roman" w:cs="Times New Roman"/>
                <w:sz w:val="24"/>
                <w:szCs w:val="24"/>
              </w:rPr>
              <w:t>BrightLoop</w:t>
            </w:r>
            <w:proofErr w:type="spellEnd"/>
            <w:r w:rsidRPr="001B2B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provides marketing analytics services but does not process financial transactions or perform a customer business process where a separate Processing Integrity examination is currently required.</w:t>
            </w:r>
          </w:p>
        </w:tc>
      </w:tr>
      <w:tr w:rsidR="001B2B2E" w:rsidRPr="001B2B2E" w:rsidTr="001B2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 /</w:t>
            </w: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Future Consideration</w:t>
            </w:r>
          </w:p>
        </w:tc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2B2E">
              <w:rPr>
                <w:rFonts w:ascii="Times New Roman" w:eastAsia="Times New Roman" w:hAnsi="Times New Roman" w:cs="Times New Roman"/>
                <w:sz w:val="24"/>
                <w:szCs w:val="24"/>
              </w:rPr>
              <w:t>BrightLoop</w:t>
            </w:r>
            <w:proofErr w:type="spellEnd"/>
            <w:r w:rsidRPr="001B2B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processes customer business analytics data that may have commercial sensitivity. However, the current business context does not establish a separate contractual or management-defined Confidentiality commitment requiring this TSC to be included in the initial examination.</w:t>
            </w:r>
          </w:p>
        </w:tc>
      </w:tr>
      <w:tr w:rsidR="001B2B2E" w:rsidRPr="001B2B2E" w:rsidTr="001B2B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Privacy</w:t>
            </w:r>
          </w:p>
        </w:tc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B2B2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1B2B2E" w:rsidRPr="001B2B2E" w:rsidRDefault="001B2B2E" w:rsidP="001B2B2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1B2B2E">
              <w:rPr>
                <w:rFonts w:ascii="Times New Roman" w:eastAsia="Times New Roman" w:hAnsi="Times New Roman" w:cs="Times New Roman"/>
                <w:sz w:val="24"/>
                <w:szCs w:val="24"/>
              </w:rPr>
              <w:t>BrightLoop</w:t>
            </w:r>
            <w:proofErr w:type="spellEnd"/>
            <w:r w:rsidRPr="001B2B2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is not described as processing significant sensitive personal information or acting as a data controller for end-consumer personal data. Privacy is therefore excluded from the initial SOC 2 scope.</w:t>
            </w:r>
          </w:p>
        </w:tc>
      </w:tr>
    </w:tbl>
    <w:p w:rsidR="001B2B2E" w:rsidRDefault="001B2B2E" w:rsidP="001B2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B2B2E" w:rsidRDefault="001B2B2E" w:rsidP="001B2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1B2B2E" w:rsidRPr="001B2B2E" w:rsidRDefault="001B2B2E" w:rsidP="001B2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2B2E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Final Initial Scope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Security / Common Criteria only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The initial SOC 2 scope is intentionally focused on Security because it directly addresses </w:t>
      </w:r>
      <w:proofErr w:type="spellStart"/>
      <w:r w:rsidRPr="001B2B2E">
        <w:rPr>
          <w:rFonts w:ascii="Times New Roman" w:eastAsia="Times New Roman" w:hAnsi="Times New Roman" w:cs="Times New Roman"/>
          <w:sz w:val="24"/>
          <w:szCs w:val="24"/>
        </w:rPr>
        <w:t>BrightLoop's</w:t>
      </w:r>
      <w:proofErr w:type="spellEnd"/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current enterprise customer requirements without expanding the examination to additional Trust Services Criteria that are not currently supported by specific contractual or business requirements.</w:t>
      </w:r>
    </w:p>
    <w:p w:rsidR="001B2B2E" w:rsidRPr="001B2B2E" w:rsidRDefault="001B2B2E" w:rsidP="001B2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B2E">
        <w:rPr>
          <w:rFonts w:ascii="Times New Roman" w:eastAsia="Times New Roman" w:hAnsi="Times New Roman" w:cs="Times New Roman"/>
          <w:b/>
          <w:bCs/>
          <w:sz w:val="36"/>
          <w:szCs w:val="36"/>
        </w:rPr>
        <w:t>System Boundary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In Scope:</w:t>
      </w:r>
    </w:p>
    <w:p w:rsidR="001B2B2E" w:rsidRPr="001B2B2E" w:rsidRDefault="001B2B2E" w:rsidP="001B2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AWS production infrastructure supporting the </w:t>
      </w:r>
      <w:proofErr w:type="spellStart"/>
      <w:r w:rsidRPr="001B2B2E">
        <w:rPr>
          <w:rFonts w:ascii="Times New Roman" w:eastAsia="Times New Roman" w:hAnsi="Times New Roman" w:cs="Times New Roman"/>
          <w:sz w:val="24"/>
          <w:szCs w:val="24"/>
        </w:rPr>
        <w:t>BrightLoop</w:t>
      </w:r>
      <w:proofErr w:type="spellEnd"/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Analytics platform</w:t>
      </w:r>
    </w:p>
    <w:p w:rsidR="001B2B2E" w:rsidRPr="001B2B2E" w:rsidRDefault="001B2B2E" w:rsidP="001B2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Production application environment</w:t>
      </w:r>
    </w:p>
    <w:p w:rsidR="001B2B2E" w:rsidRPr="001B2B2E" w:rsidRDefault="001B2B2E" w:rsidP="001B2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Production customer database</w:t>
      </w:r>
    </w:p>
    <w:p w:rsidR="001B2B2E" w:rsidRPr="001B2B2E" w:rsidRDefault="001B2B2E" w:rsidP="001B2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Identity and access management systems supporting access to in-scope systems</w:t>
      </w:r>
    </w:p>
    <w:p w:rsidR="001B2B2E" w:rsidRPr="001B2B2E" w:rsidRDefault="001B2B2E" w:rsidP="001B2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Microsoft 365 services relevant to security and business operations</w:t>
      </w:r>
    </w:p>
    <w:p w:rsidR="001B2B2E" w:rsidRPr="001B2B2E" w:rsidRDefault="001B2B2E" w:rsidP="001B2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Customer support platform used to support the production service</w:t>
      </w:r>
    </w:p>
    <w:p w:rsidR="001B2B2E" w:rsidRPr="001B2B2E" w:rsidRDefault="001B2B2E" w:rsidP="001B2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CI/CD pipeline used for production deployments</w:t>
      </w:r>
    </w:p>
    <w:p w:rsidR="001B2B2E" w:rsidRPr="001B2B2E" w:rsidRDefault="001B2B2E" w:rsidP="001B2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Personnel responsible for developing, operating, securing, and supporting the production environment</w:t>
      </w:r>
    </w:p>
    <w:p w:rsidR="001B2B2E" w:rsidRPr="001B2B2E" w:rsidRDefault="001B2B2E" w:rsidP="001B2B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Security, access management, incident response, change management, and vendor management processes supporting the production environment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Out of Scope:</w:t>
      </w:r>
    </w:p>
    <w:p w:rsidR="001B2B2E" w:rsidRPr="001B2B2E" w:rsidRDefault="001B2B2E" w:rsidP="001B2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Internal HR systems and processes unrelated to the security of the production environment</w:t>
      </w:r>
    </w:p>
    <w:p w:rsidR="001B2B2E" w:rsidRPr="001B2B2E" w:rsidRDefault="001B2B2E" w:rsidP="001B2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Marketing website infrastructure</w:t>
      </w:r>
    </w:p>
    <w:p w:rsidR="001B2B2E" w:rsidRPr="001B2B2E" w:rsidRDefault="001B2B2E" w:rsidP="001B2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Development and sandbox environments that do not contain production customer data or provide access to production systems</w:t>
      </w:r>
    </w:p>
    <w:p w:rsidR="001B2B2E" w:rsidRPr="001B2B2E" w:rsidRDefault="001B2B2E" w:rsidP="001B2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Personal systems not used to perform </w:t>
      </w:r>
      <w:proofErr w:type="spellStart"/>
      <w:r w:rsidRPr="001B2B2E">
        <w:rPr>
          <w:rFonts w:ascii="Times New Roman" w:eastAsia="Times New Roman" w:hAnsi="Times New Roman" w:cs="Times New Roman"/>
          <w:sz w:val="24"/>
          <w:szCs w:val="24"/>
        </w:rPr>
        <w:t>BrightLoop</w:t>
      </w:r>
      <w:proofErr w:type="spellEnd"/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business or production support activities</w:t>
      </w:r>
    </w:p>
    <w:p w:rsidR="001B2B2E" w:rsidRPr="001B2B2E" w:rsidRDefault="001B2B2E" w:rsidP="001B2B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Business processes unrelated to the operation and security of the </w:t>
      </w:r>
      <w:proofErr w:type="spellStart"/>
      <w:r w:rsidRPr="001B2B2E">
        <w:rPr>
          <w:rFonts w:ascii="Times New Roman" w:eastAsia="Times New Roman" w:hAnsi="Times New Roman" w:cs="Times New Roman"/>
          <w:sz w:val="24"/>
          <w:szCs w:val="24"/>
        </w:rPr>
        <w:t>BrightLoop</w:t>
      </w:r>
      <w:proofErr w:type="spellEnd"/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Analytics platform</w:t>
      </w:r>
    </w:p>
    <w:p w:rsidR="001B2B2E" w:rsidRDefault="001B2B2E" w:rsidP="001B2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B2B2E" w:rsidRDefault="001B2B2E" w:rsidP="001B2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B2B2E" w:rsidRDefault="001B2B2E" w:rsidP="001B2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B2B2E" w:rsidRDefault="001B2B2E" w:rsidP="001B2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1B2B2E" w:rsidRPr="001B2B2E" w:rsidRDefault="001B2B2E" w:rsidP="001B2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B2E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Report Type &amp; Timeline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Report Type: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SOC 2 Type II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B2B2E">
        <w:rPr>
          <w:rFonts w:ascii="Times New Roman" w:eastAsia="Times New Roman" w:hAnsi="Times New Roman" w:cs="Times New Roman"/>
          <w:sz w:val="24"/>
          <w:szCs w:val="24"/>
        </w:rPr>
        <w:t>BrightLoop</w:t>
      </w:r>
      <w:proofErr w:type="spellEnd"/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should remediate its highest-priority readiness gaps before beginning the observation period. Following remediation, the company should operate and collect evidence for a minimum six-month observation period.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A direct Type II approach is recommended because the company's pending enterprise customer requirements are expected to require evidence that controls operated consistently over time.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Type II Observation Window: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[Start Date] to [End Date] — minimum 6 months</w:t>
      </w:r>
    </w:p>
    <w:p w:rsidR="001B2B2E" w:rsidRPr="001B2B2E" w:rsidRDefault="001B2B2E" w:rsidP="001B2B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B2B2E">
        <w:rPr>
          <w:rFonts w:ascii="Times New Roman" w:eastAsia="Times New Roman" w:hAnsi="Times New Roman" w:cs="Times New Roman"/>
          <w:b/>
          <w:bCs/>
          <w:sz w:val="27"/>
          <w:szCs w:val="27"/>
        </w:rPr>
        <w:t>Planned Assessment Sequence</w:t>
      </w:r>
    </w:p>
    <w:p w:rsidR="001B2B2E" w:rsidRPr="001B2B2E" w:rsidRDefault="001B2B2E" w:rsidP="001B2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Complete SOC 2 readiness assessment</w:t>
      </w:r>
    </w:p>
    <w:p w:rsidR="001B2B2E" w:rsidRPr="001B2B2E" w:rsidRDefault="001B2B2E" w:rsidP="001B2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Remediate high-severity gaps</w:t>
      </w:r>
    </w:p>
    <w:p w:rsidR="001B2B2E" w:rsidRPr="001B2B2E" w:rsidRDefault="001B2B2E" w:rsidP="001B2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Implement and document required controls</w:t>
      </w:r>
    </w:p>
    <w:p w:rsidR="001B2B2E" w:rsidRPr="001B2B2E" w:rsidRDefault="001B2B2E" w:rsidP="001B2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Begin the six-month Type II observation period</w:t>
      </w:r>
    </w:p>
    <w:p w:rsidR="001B2B2E" w:rsidRPr="001B2B2E" w:rsidRDefault="001B2B2E" w:rsidP="001B2B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Undergo the SOC 2 Type II examination</w:t>
      </w:r>
    </w:p>
    <w:p w:rsidR="001B2B2E" w:rsidRPr="001B2B2E" w:rsidRDefault="001B2B2E" w:rsidP="001B2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B2E">
        <w:rPr>
          <w:rFonts w:ascii="Times New Roman" w:eastAsia="Times New Roman" w:hAnsi="Times New Roman" w:cs="Times New Roman"/>
          <w:b/>
          <w:bCs/>
          <w:sz w:val="36"/>
          <w:szCs w:val="36"/>
        </w:rPr>
        <w:t>Scope Change Management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This document must be reviewed when a material change occurs to:</w:t>
      </w:r>
    </w:p>
    <w:p w:rsidR="001B2B2E" w:rsidRPr="001B2B2E" w:rsidRDefault="001B2B2E" w:rsidP="001B2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The production architecture</w:t>
      </w:r>
    </w:p>
    <w:p w:rsidR="001B2B2E" w:rsidRPr="001B2B2E" w:rsidRDefault="001B2B2E" w:rsidP="001B2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Customer data types processed</w:t>
      </w:r>
    </w:p>
    <w:p w:rsidR="001B2B2E" w:rsidRPr="001B2B2E" w:rsidRDefault="001B2B2E" w:rsidP="001B2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Major third-party service providers</w:t>
      </w:r>
    </w:p>
    <w:p w:rsidR="001B2B2E" w:rsidRPr="001B2B2E" w:rsidRDefault="001B2B2E" w:rsidP="001B2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Customer contractual requirements</w:t>
      </w:r>
    </w:p>
    <w:p w:rsidR="001B2B2E" w:rsidRPr="001B2B2E" w:rsidRDefault="001B2B2E" w:rsidP="001B2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Security or availability commitments</w:t>
      </w:r>
    </w:p>
    <w:p w:rsidR="001B2B2E" w:rsidRPr="001B2B2E" w:rsidRDefault="001B2B2E" w:rsidP="001B2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The organization's business model</w:t>
      </w:r>
    </w:p>
    <w:p w:rsidR="001B2B2E" w:rsidRPr="001B2B2E" w:rsidRDefault="001B2B2E" w:rsidP="001B2B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Systems supporting the production environment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sz w:val="24"/>
          <w:szCs w:val="24"/>
        </w:rPr>
        <w:t>Material changes may require an update to the selected Trust Services Criteria or the system boundary.</w:t>
      </w:r>
    </w:p>
    <w:p w:rsidR="001B2B2E" w:rsidRPr="001B2B2E" w:rsidRDefault="001B2B2E" w:rsidP="001B2B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B2B2E">
        <w:rPr>
          <w:rFonts w:ascii="Times New Roman" w:eastAsia="Times New Roman" w:hAnsi="Times New Roman" w:cs="Times New Roman"/>
          <w:b/>
          <w:bCs/>
          <w:sz w:val="36"/>
          <w:szCs w:val="36"/>
        </w:rPr>
        <w:t>Approval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Approved by: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Aryan Neupane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Title: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_______________</w:t>
      </w:r>
      <w:r>
        <w:rPr>
          <w:rFonts w:ascii="Times New Roman" w:eastAsia="Times New Roman" w:hAnsi="Times New Roman" w:cs="Times New Roman"/>
          <w:sz w:val="24"/>
          <w:szCs w:val="24"/>
        </w:rPr>
        <w:t>GRC Analyst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>__________________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Signature: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__________</w:t>
      </w:r>
      <w:r>
        <w:rPr>
          <w:rFonts w:ascii="Times New Roman" w:eastAsia="Times New Roman" w:hAnsi="Times New Roman" w:cs="Times New Roman"/>
          <w:sz w:val="24"/>
          <w:szCs w:val="24"/>
        </w:rPr>
        <w:t>Aryan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:rsidR="001B2B2E" w:rsidRPr="001B2B2E" w:rsidRDefault="001B2B2E" w:rsidP="001B2B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B2B2E">
        <w:rPr>
          <w:rFonts w:ascii="Times New Roman" w:eastAsia="Times New Roman" w:hAnsi="Times New Roman" w:cs="Times New Roman"/>
          <w:b/>
          <w:bCs/>
          <w:sz w:val="24"/>
          <w:szCs w:val="24"/>
        </w:rPr>
        <w:t>Date:</w:t>
      </w:r>
      <w:r w:rsidRPr="001B2B2E">
        <w:rPr>
          <w:rFonts w:ascii="Times New Roman" w:eastAsia="Times New Roman" w:hAnsi="Times New Roman" w:cs="Times New Roman"/>
          <w:sz w:val="24"/>
          <w:szCs w:val="24"/>
        </w:rPr>
        <w:t xml:space="preserve"> _______________</w:t>
      </w:r>
      <w:r>
        <w:rPr>
          <w:rFonts w:ascii="Times New Roman" w:eastAsia="Times New Roman" w:hAnsi="Times New Roman" w:cs="Times New Roman"/>
          <w:sz w:val="24"/>
          <w:szCs w:val="24"/>
        </w:rPr>
        <w:t>2026-07-26</w:t>
      </w:r>
      <w:bookmarkStart w:id="0" w:name="_GoBack"/>
      <w:bookmarkEnd w:id="0"/>
      <w:r w:rsidRPr="001B2B2E">
        <w:rPr>
          <w:rFonts w:ascii="Times New Roman" w:eastAsia="Times New Roman" w:hAnsi="Times New Roman" w:cs="Times New Roman"/>
          <w:sz w:val="24"/>
          <w:szCs w:val="24"/>
        </w:rPr>
        <w:t>___________________</w:t>
      </w:r>
    </w:p>
    <w:p w:rsidR="00537673" w:rsidRDefault="00537673"/>
    <w:sectPr w:rsidR="005376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7B72B5"/>
    <w:multiLevelType w:val="multilevel"/>
    <w:tmpl w:val="9C38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C3295"/>
    <w:multiLevelType w:val="multilevel"/>
    <w:tmpl w:val="7404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E71FC"/>
    <w:multiLevelType w:val="multilevel"/>
    <w:tmpl w:val="264EF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3C3BA3"/>
    <w:multiLevelType w:val="multilevel"/>
    <w:tmpl w:val="50B6D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B2E"/>
    <w:rsid w:val="001B2B2E"/>
    <w:rsid w:val="00537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69C06D"/>
  <w15:chartTrackingRefBased/>
  <w15:docId w15:val="{AF85D873-7ABD-49D8-A432-77232DDA2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2B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B2B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B2B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B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B2B2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B2B2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B2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B2B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941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684</Words>
  <Characters>3905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Neupane</dc:creator>
  <cp:keywords/>
  <dc:description/>
  <cp:lastModifiedBy>Aryan Neupane</cp:lastModifiedBy>
  <cp:revision>1</cp:revision>
  <dcterms:created xsi:type="dcterms:W3CDTF">2026-07-26T06:15:00Z</dcterms:created>
  <dcterms:modified xsi:type="dcterms:W3CDTF">2026-07-26T06:22:00Z</dcterms:modified>
</cp:coreProperties>
</file>