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5F2" w:rsidRDefault="005D25F2" w:rsidP="005D25F2">
      <w:pPr>
        <w:pStyle w:val="Heading1"/>
        <w:rPr>
          <w:rFonts w:eastAsia="Times New Roman"/>
        </w:rPr>
      </w:pPr>
      <w:r w:rsidRPr="005D25F2">
        <w:rPr>
          <w:rFonts w:eastAsia="Times New Roman"/>
        </w:rPr>
        <w:t xml:space="preserve">Final GRC Assessment </w:t>
      </w:r>
      <w:proofErr w:type="gramStart"/>
      <w:r w:rsidRPr="005D25F2">
        <w:rPr>
          <w:rFonts w:eastAsia="Times New Roman"/>
        </w:rPr>
        <w:t xml:space="preserve">Report </w:t>
      </w:r>
      <w:r>
        <w:rPr>
          <w:rFonts w:eastAsia="Times New Roman"/>
        </w:rPr>
        <w:t>:</w:t>
      </w:r>
      <w:proofErr w:type="gramEnd"/>
      <w:r w:rsidRPr="005D25F2">
        <w:rPr>
          <w:rFonts w:eastAsia="Times New Roman"/>
        </w:rPr>
        <w:t xml:space="preserve"> </w:t>
      </w:r>
      <w:proofErr w:type="spellStart"/>
      <w:r w:rsidRPr="005D25F2">
        <w:rPr>
          <w:rFonts w:eastAsia="Times New Roman"/>
        </w:rPr>
        <w:t>VertexOne</w:t>
      </w:r>
      <w:proofErr w:type="spellEnd"/>
      <w:r w:rsidRPr="005D25F2">
        <w:rPr>
          <w:rFonts w:eastAsia="Times New Roman"/>
        </w:rPr>
        <w:t xml:space="preserve"> Digital Services</w:t>
      </w:r>
    </w:p>
    <w:p w:rsidR="005D25F2" w:rsidRPr="005D25F2" w:rsidRDefault="005D25F2" w:rsidP="005D25F2"/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1. Executive Summary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The executive-level conclusion is provided in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This report provides the supporting assessment context, methodology, findings, framework analysis, recommendations, and management conclusions underlying the executive summary.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2. Business Context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25F2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Digital Services is an approximately 1,000-employee organization with global operations across AWS and Azure environments.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organization operates customer-facing web applications and payment-related services and is pursuing continued enterprise and government-sector growth.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This business context creates requirements for effective information security governance, risk management, regulatory compliance, security monitoring, third-party risk management, business continuity, and demonstrable control effectiveness.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3. Assessment Scope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assessment covers: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ISO/IEC 27001:2022 Information Security Management System (ISMS)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NIST Cybersecurity Framework (CSF) 2.0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Enterprise risk management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Security control effectiveness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GRC gap analysis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Risk treatment and remediation planning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Audit and management review activities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Continual improvement</w:t>
      </w:r>
    </w:p>
    <w:p w:rsidR="005D25F2" w:rsidRPr="005D25F2" w:rsidRDefault="005D25F2" w:rsidP="005D2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Cross-framework alignment between ISO/IEC 27001 and NIST CSF 2.0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4. Assessment Methodology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assessment used a combination of: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Document review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Evidence sampling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Control assessment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Risk analysis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lastRenderedPageBreak/>
        <w:t>Framework mapping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Management-level review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Technical validation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Gap analysis</w:t>
      </w:r>
    </w:p>
    <w:p w:rsidR="005D25F2" w:rsidRPr="005D25F2" w:rsidRDefault="005D25F2" w:rsidP="005D2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Risk treatment planning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Each framework was evaluated according to its own established requirements and assessment principles.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5. Enterprise Risk Assessment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consolidated enterprise risk position is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Final Enterprise Risk Register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register provides the organization's identified threats, vulnerabilities, inherent risk, control effectiveness, residual risk, ownership, and treatment priority.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The highest-priority current risk is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GAP-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Monitoring Coverage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>, followed by high-priority risks associated with incident response validation and cross-border data protection.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6. Control Effectiveness Assessment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Control effectiveness is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Control Effectiveness Assessment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representative assessment identified:</w:t>
      </w:r>
    </w:p>
    <w:p w:rsidR="005D25F2" w:rsidRPr="005D25F2" w:rsidRDefault="005D25F2" w:rsidP="005D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3 controls classified as Effective</w:t>
      </w:r>
    </w:p>
    <w:p w:rsidR="005D25F2" w:rsidRPr="005D25F2" w:rsidRDefault="005D25F2" w:rsidP="005D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2 controls classified as Partially Effective</w:t>
      </w:r>
    </w:p>
    <w:p w:rsidR="005D25F2" w:rsidRPr="005D25F2" w:rsidRDefault="005D25F2" w:rsidP="005D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2 controls classified as Not Tested</w:t>
      </w:r>
    </w:p>
    <w:p w:rsidR="005D25F2" w:rsidRPr="005D25F2" w:rsidRDefault="005D25F2" w:rsidP="005D2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0 controls classified as Ineffective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assessment indicates that the principal weakness is incomplete operational verification rather than fundamentally inadequate control design.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7. Framework Assessment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Cross-framework applicability and alignment are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Applicability &amp; Alignment Matrix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The matrix demonstrates how </w:t>
      </w:r>
      <w:proofErr w:type="spellStart"/>
      <w:r w:rsidRPr="005D25F2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governance, risk, security, and compliance activities align across:</w:t>
      </w:r>
    </w:p>
    <w:p w:rsidR="005D25F2" w:rsidRPr="005D25F2" w:rsidRDefault="005D25F2" w:rsidP="005D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lastRenderedPageBreak/>
        <w:t>ISO/IEC 27001:2022</w:t>
      </w:r>
    </w:p>
    <w:p w:rsidR="005D25F2" w:rsidRPr="005D25F2" w:rsidRDefault="005D25F2" w:rsidP="005D2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NIST CSF 2.0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cross-framework view helps identify common security outcomes and reduce unnecessary duplication between governance and security activities.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8. GRC Findings and Gaps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consolidated findings are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GRC Gap Assessment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principal gaps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94"/>
        <w:gridCol w:w="3902"/>
      </w:tblGrid>
      <w:tr w:rsidR="005D25F2" w:rsidRPr="005D25F2" w:rsidTr="005D2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5D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Area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GAP-01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monitoring and MTTD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GAP-02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validation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GAP-05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Cross-border data protection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GAP-03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ISO control implementation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GAP-04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Shadow IT discovery</w:t>
            </w:r>
          </w:p>
        </w:tc>
      </w:tr>
      <w:bookmarkEnd w:id="0"/>
    </w:tbl>
    <w:p w:rsidR="005D25F2" w:rsidRDefault="005D25F2" w:rsidP="005D25F2">
      <w:pPr>
        <w:pStyle w:val="Heading2"/>
        <w:rPr>
          <w:rFonts w:eastAsia="Times New Roman"/>
        </w:rPr>
      </w:pP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9. Risk Prioritization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current consolidated prioritization is:</w:t>
      </w:r>
    </w:p>
    <w:p w:rsidR="005D25F2" w:rsidRPr="005D25F2" w:rsidRDefault="005D25F2" w:rsidP="005D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GAP-01</w:t>
      </w:r>
    </w:p>
    <w:p w:rsidR="005D25F2" w:rsidRPr="005D25F2" w:rsidRDefault="005D25F2" w:rsidP="005D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High: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GAP-02, GAP-05</w:t>
      </w:r>
    </w:p>
    <w:p w:rsidR="005D25F2" w:rsidRPr="005D25F2" w:rsidRDefault="005D25F2" w:rsidP="005D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GAP-03, GAP-04</w:t>
      </w:r>
    </w:p>
    <w:p w:rsidR="005D25F2" w:rsidRPr="005D25F2" w:rsidRDefault="005D25F2" w:rsidP="005D2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Low / Monitor: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R-004, R-010, R-012, R-015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Detailed risk ratings and residual-risk information are maintained in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Final Enterprise Risk Register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25F2" w:rsidRPr="005D25F2" w:rsidRDefault="005D25F2" w:rsidP="005D25F2">
      <w:pPr>
        <w:pStyle w:val="Heading2"/>
        <w:rPr>
          <w:rFonts w:eastAsia="Times New Roman"/>
        </w:rPr>
      </w:pPr>
      <w:r w:rsidRPr="005D25F2">
        <w:rPr>
          <w:rFonts w:eastAsia="Times New Roman"/>
        </w:rPr>
        <w:t>10. Risk Treatment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Recommended treatment actions are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Risk Treatment Plan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primary treatment strategy is risk mitigation.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lastRenderedPageBreak/>
        <w:t>Critical and high-priority issues have defined owners and target completion periods. Risks that have already been effectively treated are placed under an accept/monitor approach with continued management oversight.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treatment model establishes the following management chain: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Risk → Gap → Treatment → Owner → Target → Verification</w:t>
      </w:r>
    </w:p>
    <w:p w:rsidR="005D25F2" w:rsidRPr="005D25F2" w:rsidRDefault="005D25F2" w:rsidP="005D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25F2">
        <w:rPr>
          <w:rFonts w:ascii="Times New Roman" w:eastAsia="Times New Roman" w:hAnsi="Times New Roman" w:cs="Times New Roman"/>
          <w:b/>
          <w:bCs/>
          <w:sz w:val="36"/>
          <w:szCs w:val="36"/>
        </w:rPr>
        <w:t>11. Improvement Roadmap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implementation sequence is documented in: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 </w:t>
      </w:r>
      <w:proofErr w:type="gramStart"/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12-Month GRC Improvement Roadmap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roadmap prioritizes: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Security monitoring and detection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Incident response validation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Cloud and Shadow IT governance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ISO/IEC 27001 control implementation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Cross-border data governance</w:t>
      </w:r>
    </w:p>
    <w:p w:rsidR="005D25F2" w:rsidRPr="005D25F2" w:rsidRDefault="005D25F2" w:rsidP="005D2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Continuous measurement and verification</w:t>
      </w:r>
    </w:p>
    <w:p w:rsidR="005D25F2" w:rsidRPr="005D25F2" w:rsidRDefault="005D25F2" w:rsidP="005D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25F2">
        <w:rPr>
          <w:rFonts w:ascii="Times New Roman" w:eastAsia="Times New Roman" w:hAnsi="Times New Roman" w:cs="Times New Roman"/>
          <w:b/>
          <w:bCs/>
          <w:sz w:val="36"/>
          <w:szCs w:val="36"/>
        </w:rPr>
        <w:t>12. Key Performance Metrics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Management should monitor the following metrics during the improvement cycle: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5438"/>
      </w:tblGrid>
      <w:tr w:rsidR="005D25F2" w:rsidRPr="005D25F2" w:rsidTr="005D2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Purpose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Mean Time to Detect (MTTD)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security monitoring and detection performance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Patch SLA Compliance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vulnerability-management effectiveness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Awareness Completion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workforce security-awareness coverage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Control Effectiveness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operational performance of key controls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Exercise Completion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response readiness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SoA</w:t>
            </w:r>
            <w:proofErr w:type="spellEnd"/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Implementation Progress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ISO/IEC 27001 control implementation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Risk Treatment Completion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remediation progress</w:t>
            </w:r>
          </w:p>
        </w:tc>
      </w:tr>
      <w:tr w:rsidR="005D25F2" w:rsidRPr="005D25F2" w:rsidTr="005D2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NIST CSF Tier Progress</w:t>
            </w:r>
          </w:p>
        </w:tc>
        <w:tc>
          <w:tcPr>
            <w:tcW w:w="0" w:type="auto"/>
            <w:vAlign w:val="center"/>
            <w:hideMark/>
          </w:tcPr>
          <w:p w:rsidR="005D25F2" w:rsidRPr="005D25F2" w:rsidRDefault="005D25F2" w:rsidP="005D2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5F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cybersecurity program maturity</w:t>
            </w:r>
          </w:p>
        </w:tc>
      </w:tr>
    </w:tbl>
    <w:p w:rsidR="005D25F2" w:rsidRPr="005D25F2" w:rsidRDefault="005D25F2" w:rsidP="005D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25F2">
        <w:rPr>
          <w:rFonts w:ascii="Times New Roman" w:eastAsia="Times New Roman" w:hAnsi="Times New Roman" w:cs="Times New Roman"/>
          <w:b/>
          <w:bCs/>
          <w:sz w:val="36"/>
          <w:szCs w:val="36"/>
        </w:rPr>
        <w:t>13. Executive Decisions Required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Executive leadership and the Risk Committee should:</w:t>
      </w:r>
    </w:p>
    <w:p w:rsidR="005D25F2" w:rsidRPr="005D25F2" w:rsidRDefault="005D25F2" w:rsidP="005D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lastRenderedPageBreak/>
        <w:t>Approve the 12-month GRC improvement roadmap.</w:t>
      </w:r>
    </w:p>
    <w:p w:rsidR="005D25F2" w:rsidRPr="005D25F2" w:rsidRDefault="005D25F2" w:rsidP="005D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Prioritize funding for security monitoring and detection improvements.</w:t>
      </w:r>
    </w:p>
    <w:p w:rsidR="005D25F2" w:rsidRPr="005D25F2" w:rsidRDefault="005D25F2" w:rsidP="005D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Require formal testing of incident response and business continuity capabilities.</w:t>
      </w:r>
    </w:p>
    <w:p w:rsidR="005D25F2" w:rsidRPr="005D25F2" w:rsidRDefault="005D25F2" w:rsidP="005D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Require completion of outstanding ISO/IEC 27001 control implementation.</w:t>
      </w:r>
    </w:p>
    <w:p w:rsidR="005D25F2" w:rsidRPr="005D25F2" w:rsidRDefault="005D25F2" w:rsidP="005D2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Maintain management oversight of ISO/IEC 27001 corrective actions and GRC remediation activities.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25F2">
        <w:rPr>
          <w:rFonts w:ascii="Times New Roman" w:eastAsia="Times New Roman" w:hAnsi="Times New Roman" w:cs="Times New Roman"/>
          <w:b/>
          <w:bCs/>
          <w:sz w:val="36"/>
          <w:szCs w:val="36"/>
        </w:rPr>
        <w:t>14. Conclusion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25F2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Digital Services demonstrates a </w:t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credible and operational GRC foundation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across ISO/IEC 27001:2022 and NIST CSF 2.0.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assessment does not identify a fundamentally broken control environment. Instead, the principal opportunity is to strengthen operational maturity through improved monitoring, testing, measurement, evidence, and continual improvement.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>The organization therefore has a clear and actionable path forward: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identified priority gaps → verify control effectiveness → measure performance → maintain management oversight → continually improve.</w:t>
      </w: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Successful execution of the roadmap should strengthen </w:t>
      </w:r>
      <w:proofErr w:type="spellStart"/>
      <w:r w:rsidRPr="005D25F2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audit readiness, cybersecurity assurance, compliance posture, and ability to demonstrate continued progress toward ISO/IEC 27001 certification and increased NIST CSF maturity.</w:t>
      </w:r>
    </w:p>
    <w:p w:rsidR="005D25F2" w:rsidRPr="005D25F2" w:rsidRDefault="005D25F2" w:rsidP="005D2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25F2" w:rsidRPr="005D25F2" w:rsidRDefault="005D25F2" w:rsidP="005D2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Junior GRC Consultant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br/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25F2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br/>
      </w:r>
      <w:r w:rsidRPr="005D25F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D25F2">
        <w:rPr>
          <w:rFonts w:ascii="Times New Roman" w:eastAsia="Times New Roman" w:hAnsi="Times New Roman" w:cs="Times New Roman"/>
          <w:sz w:val="24"/>
          <w:szCs w:val="24"/>
        </w:rPr>
        <w:t xml:space="preserve"> Final Report for Executive Leadership and Risk Committee Review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162F"/>
    <w:multiLevelType w:val="multilevel"/>
    <w:tmpl w:val="670A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50BF6"/>
    <w:multiLevelType w:val="multilevel"/>
    <w:tmpl w:val="F7F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41B7"/>
    <w:multiLevelType w:val="multilevel"/>
    <w:tmpl w:val="AA1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80855"/>
    <w:multiLevelType w:val="multilevel"/>
    <w:tmpl w:val="A54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86573"/>
    <w:multiLevelType w:val="multilevel"/>
    <w:tmpl w:val="76B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9302D"/>
    <w:multiLevelType w:val="multilevel"/>
    <w:tmpl w:val="B3C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F5CF3"/>
    <w:multiLevelType w:val="multilevel"/>
    <w:tmpl w:val="1B8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5F2"/>
    <w:rsid w:val="005D25F2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5EA"/>
  <w15:chartTrackingRefBased/>
  <w15:docId w15:val="{5BBE7414-C169-438E-9F43-EF23DC71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5D2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2026-08-12T08:02:00Z</dcterms:created>
  <dcterms:modified xsi:type="dcterms:W3CDTF">2026-08-12T08:03:00Z</dcterms:modified>
</cp:coreProperties>
</file>