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726" w:rsidRPr="00D37726" w:rsidRDefault="00D37726" w:rsidP="00D3772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Risk Assessment </w:t>
      </w:r>
      <w:proofErr w:type="gramStart"/>
      <w:r>
        <w:rPr>
          <w:rFonts w:eastAsia="Times New Roman"/>
        </w:rPr>
        <w:t>Methodology :</w:t>
      </w:r>
      <w:proofErr w:type="gramEnd"/>
      <w:r w:rsidRPr="00D37726">
        <w:rPr>
          <w:rFonts w:eastAsia="Times New Roman"/>
        </w:rPr>
        <w:t xml:space="preserve"> </w:t>
      </w:r>
      <w:proofErr w:type="spellStart"/>
      <w:r w:rsidRPr="00D37726">
        <w:rPr>
          <w:rFonts w:eastAsia="Times New Roman"/>
        </w:rPr>
        <w:t>VertexOne</w:t>
      </w:r>
      <w:proofErr w:type="spellEnd"/>
      <w:r w:rsidRPr="00D37726">
        <w:rPr>
          <w:rFonts w:eastAsia="Times New Roman"/>
        </w:rPr>
        <w:t xml:space="preserve"> Digital Services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Draft for GRC Manager Review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ISO/IEC 27001:2022 Clause 6.1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1. Purpose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This document defines </w:t>
      </w: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Digital Services' approach to identifying, analyzing, evaluating, and treating information security risks.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The methodology is designed to support a consistent and repeatable risk assessment process aligned with the requirements of </w:t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27001:2022 Clause 6.1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2. Methodology Overview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Digital Services uses a </w:t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semi-quantitative risk assessment approach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Risk is calculated using the following formula: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Risk Score = Likelihood × Impact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Both Likelihood and Impact are scored on a scale of </w:t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1 to 5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Risk Score Range: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1–25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The resulting score is mapped to a defined risk rating band: Low, Medium, High, or Critical.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3. Likelihood Scale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554"/>
        <w:gridCol w:w="5314"/>
      </w:tblGrid>
      <w:tr w:rsidR="00D37726" w:rsidRPr="00D37726" w:rsidTr="00C4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May occur only in exceptional circumstances.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Unlikely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Could occur but is not expected.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Might occur at some point.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Likely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Will probably occur.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Almost Certain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to occur, potentially multiple times per year.</w:t>
            </w:r>
          </w:p>
        </w:tc>
      </w:tr>
    </w:tbl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lastRenderedPageBreak/>
        <w:t>4. Impact Scale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094"/>
        <w:gridCol w:w="7326"/>
      </w:tblGrid>
      <w:tr w:rsidR="00D37726" w:rsidRPr="00D37726" w:rsidTr="00C4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Negligible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Minimal effect on operations or reputation.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Limited effect that can be quickly resolved.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Noticeable disruption or limited data exposure.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 disruption, contractual exposure, or regulatory exposure.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Reportable breach, major financial loss, or significant reputational damage.</w:t>
            </w:r>
          </w:p>
        </w:tc>
      </w:tr>
    </w:tbl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7726" w:rsidRPr="00D37726" w:rsidRDefault="00D37726" w:rsidP="00D37726">
      <w:pPr>
        <w:pStyle w:val="Heading2"/>
      </w:pPr>
      <w:r w:rsidRPr="00D37726">
        <w:t>5. Risk Rating Bands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909"/>
      </w:tblGrid>
      <w:tr w:rsidR="00D37726" w:rsidRPr="00D37726" w:rsidTr="00C4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1–6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7–12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13–19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20–25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</w:tbl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The calculated risk score determines the initial risk rating and supports prioritization of risk treatment activities.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6. Inherent and Residual Risk</w:t>
      </w:r>
    </w:p>
    <w:p w:rsidR="00D37726" w:rsidRPr="00D37726" w:rsidRDefault="00D37726" w:rsidP="00D37726">
      <w:pPr>
        <w:pStyle w:val="Heading2"/>
      </w:pPr>
      <w:r w:rsidRPr="00D37726">
        <w:t>6.1 Inherent Risk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Inherent risk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represents the level of risk before considering the effectiveness of existing security controls.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It reflects the potential exposure associated with a threat, vulnerability, asset, or business process in the absence of mitigating controls.</w:t>
      </w:r>
    </w:p>
    <w:p w:rsidR="00D37726" w:rsidRPr="00D37726" w:rsidRDefault="00D37726" w:rsidP="00D37726">
      <w:pPr>
        <w:pStyle w:val="Heading2"/>
      </w:pPr>
      <w:r w:rsidRPr="00D37726">
        <w:t>6.2 Residual Risk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Residual risk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represents the level of risk remaining after existing or planned security controls are considered.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Any reduction between inherent and residual risk should be supported by documented evidence of the relevant controls and their effectiveness.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The specific control(s) responsible for reducing the risk should be referenced in the Risk Register.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lastRenderedPageBreak/>
        <w:t>7. Roles and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765"/>
      </w:tblGrid>
      <w:tr w:rsidR="00D37726" w:rsidRPr="00D37726" w:rsidTr="00C4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GRC Manager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 for coordinating, conducting, and documenting risk assessments.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Accountable for the overall risk assessment process and its outcomes.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Committee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Reviews and approves significant risk treatment decisions and risk acceptance.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 Owners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Provide input regarding likelihood, impact, business context, and existing controls associated with their assets.</w:t>
            </w:r>
          </w:p>
        </w:tc>
      </w:tr>
    </w:tbl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8. Risk Reassessment Cadence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Digital Services formally reassesses information security risks:</w:t>
      </w:r>
    </w:p>
    <w:p w:rsidR="00D37726" w:rsidRPr="00D37726" w:rsidRDefault="00D37726" w:rsidP="00D37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Annually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as part of the organization's scheduled risk assessment cycle.</w:t>
      </w:r>
    </w:p>
    <w:p w:rsidR="00D37726" w:rsidRPr="00D37726" w:rsidRDefault="00D37726" w:rsidP="00D37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Following significant changes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to an asset, system, process, technology, or business environment.</w:t>
      </w:r>
    </w:p>
    <w:p w:rsidR="00D37726" w:rsidRPr="00D37726" w:rsidRDefault="00D37726" w:rsidP="00D37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Following significant changes to the threat landscape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that could materially affect existing risks.</w:t>
      </w:r>
    </w:p>
    <w:p w:rsidR="00D37726" w:rsidRPr="00D37726" w:rsidRDefault="00D37726" w:rsidP="00D37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Following a security incident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affecting an in-scope asset or process.</w:t>
      </w:r>
    </w:p>
    <w:p w:rsidR="00D37726" w:rsidRPr="00D37726" w:rsidRDefault="00D37726" w:rsidP="00D37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When significant control changes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may materially alter the existing risk level.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Risk assessments may also be performed when requested by the CISO, GRC Manager, or Risk Committee.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9. Risk ID Convention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All identified information security risks are assigned a unique sequential </w:t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Risk ID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using the following convention: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R-001, R-002, R-003, and so on.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Risk IDs are maintained consistently across relevant ISMS documentation, including:</w:t>
      </w:r>
    </w:p>
    <w:p w:rsidR="00D37726" w:rsidRPr="00D37726" w:rsidRDefault="00D37726" w:rsidP="00D37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Risk Register</w:t>
      </w:r>
    </w:p>
    <w:p w:rsidR="00D37726" w:rsidRPr="00D37726" w:rsidRDefault="00D37726" w:rsidP="00D37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Risk Treatment Plan</w:t>
      </w:r>
    </w:p>
    <w:p w:rsidR="00D37726" w:rsidRPr="00D37726" w:rsidRDefault="00D37726" w:rsidP="00D37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Statement of Applicability (</w:t>
      </w: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SoA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37726" w:rsidRPr="00D37726" w:rsidRDefault="00D37726" w:rsidP="00D37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Control Register</w:t>
      </w:r>
    </w:p>
    <w:p w:rsidR="00D37726" w:rsidRPr="00D37726" w:rsidRDefault="00D37726" w:rsidP="00D37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Internal Audit documentation</w:t>
      </w:r>
    </w:p>
    <w:p w:rsidR="00D37726" w:rsidRPr="00D37726" w:rsidRDefault="00D37726" w:rsidP="00D37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Other downstream ISMS artifacts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Once assigned, a Risk ID should not be reused for a different risk.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10. Risk Assessment Process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follows the following general risk assessment sequence: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1. Identify Asset / Process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2. Identify Threat and Vulnerability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3. Assess Likelihood (1–5)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4. Assess Impact (1–5)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5. Calculate Risk Score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6. Determine Risk Rating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7. Identify Existing Controls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8. Determine Residual Risk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9. Select Risk Treatment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10. Document and Approve Treatment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This process provides a consistent basis for prioritizing information security risks and selecting appropriate risk treatment actions.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11. Risk Treatment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Depending on the assessed risk and organizational context, </w:t>
      </w: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may select one or more of the following risk treatment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571"/>
      </w:tblGrid>
      <w:tr w:rsidR="00D37726" w:rsidRPr="00D37726" w:rsidTr="00C4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Treatment Option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Modification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or strengthen controls to reduce likelihood and/or impact.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Avoidance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Stop or change the activity that creates the unacceptable risk.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Sharing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or share part of the risk with an external party, such as through contractual arrangements or insurance.</w:t>
            </w:r>
          </w:p>
        </w:tc>
      </w:tr>
      <w:tr w:rsidR="00D37726" w:rsidRPr="00D37726" w:rsidTr="00C4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Retention</w:t>
            </w:r>
          </w:p>
        </w:tc>
        <w:tc>
          <w:tcPr>
            <w:tcW w:w="0" w:type="auto"/>
            <w:vAlign w:val="center"/>
            <w:hideMark/>
          </w:tcPr>
          <w:p w:rsidR="00D37726" w:rsidRPr="00D37726" w:rsidRDefault="00D37726" w:rsidP="00D3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726">
              <w:rPr>
                <w:rFonts w:ascii="Times New Roman" w:eastAsia="Times New Roman" w:hAnsi="Times New Roman" w:cs="Times New Roman"/>
                <w:sz w:val="24"/>
                <w:szCs w:val="24"/>
              </w:rPr>
              <w:t>Accept and retain the risk when it falls within the organization's defined risk acceptance criteria.</w:t>
            </w:r>
          </w:p>
        </w:tc>
      </w:tr>
    </w:tbl>
    <w:bookmarkEnd w:id="0"/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lastRenderedPageBreak/>
        <w:t>Risk treatment decisions should be documented and approved by the appropriate risk owner or governance authority.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12. Risk Acceptance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Residual risks that remain after treatment must be formally reviewed against </w:t>
      </w: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risk acceptance criteria.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Risk acceptance should be:</w:t>
      </w:r>
    </w:p>
    <w:p w:rsidR="00D37726" w:rsidRPr="00D37726" w:rsidRDefault="00D37726" w:rsidP="00D37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Documented in the Risk Register.</w:t>
      </w:r>
    </w:p>
    <w:p w:rsidR="00D37726" w:rsidRPr="00D37726" w:rsidRDefault="00D37726" w:rsidP="00D37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Approved by the appropriate risk owner.</w:t>
      </w:r>
    </w:p>
    <w:p w:rsidR="00D37726" w:rsidRPr="00D37726" w:rsidRDefault="00D37726" w:rsidP="00D37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Supported by a clear business justification.</w:t>
      </w:r>
    </w:p>
    <w:p w:rsidR="00D37726" w:rsidRPr="00D37726" w:rsidRDefault="00D37726" w:rsidP="00D37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Subject to periodic review.</w:t>
      </w:r>
    </w:p>
    <w:p w:rsidR="00D37726" w:rsidRPr="00D37726" w:rsidRDefault="00D37726" w:rsidP="00D37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Reassessed when significant changes occur.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pStyle w:val="Heading2"/>
      </w:pPr>
      <w:r w:rsidRPr="00D37726">
        <w:t>13. Methodology Governance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The Risk Assessment Methodology should be reviewed periodically to ensure that it remains appropriate for </w:t>
      </w: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business environment, risk profile, regulatory obligations, technology landscape, and ISMS requirements.</w:t>
      </w: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sz w:val="24"/>
          <w:szCs w:val="24"/>
        </w:rPr>
        <w:t>Changes to the methodology should be reviewed and approved through the organization's established governance process.</w:t>
      </w:r>
    </w:p>
    <w:p w:rsidR="00D37726" w:rsidRPr="00D37726" w:rsidRDefault="00D37726" w:rsidP="00D37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7726" w:rsidRPr="00D37726" w:rsidRDefault="00D37726" w:rsidP="00D3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Draft for GRC Manager Review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Risk Assessment Methodology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72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br/>
      </w:r>
      <w:r w:rsidRPr="00D37726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D37726">
        <w:rPr>
          <w:rFonts w:ascii="Times New Roman" w:eastAsia="Times New Roman" w:hAnsi="Times New Roman" w:cs="Times New Roman"/>
          <w:sz w:val="24"/>
          <w:szCs w:val="24"/>
        </w:rPr>
        <w:t xml:space="preserve"> ISO/IEC 27001:2022 Clause 6.1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951F1"/>
    <w:multiLevelType w:val="multilevel"/>
    <w:tmpl w:val="99D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55475"/>
    <w:multiLevelType w:val="multilevel"/>
    <w:tmpl w:val="94B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53E26"/>
    <w:multiLevelType w:val="multilevel"/>
    <w:tmpl w:val="035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26"/>
    <w:rsid w:val="00784060"/>
    <w:rsid w:val="00C44931"/>
    <w:rsid w:val="00D37726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5428"/>
  <w15:chartTrackingRefBased/>
  <w15:docId w15:val="{C2642951-D1CB-4EFE-A98E-179272D0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37726"/>
    <w:pPr>
      <w:keepNext/>
      <w:keepLines/>
      <w:spacing w:before="40" w:after="0"/>
      <w:outlineLvl w:val="1"/>
    </w:pPr>
    <w:rPr>
      <w:rFonts w:ascii="Times New Roman" w:eastAsia="Times New Roman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D37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7726"/>
    <w:rPr>
      <w:rFonts w:ascii="Times New Roman" w:eastAsia="Times New Roman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77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7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7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8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2</cp:revision>
  <cp:lastPrinted>2026-08-09T06:00:00Z</cp:lastPrinted>
  <dcterms:created xsi:type="dcterms:W3CDTF">2026-08-09T05:58:00Z</dcterms:created>
  <dcterms:modified xsi:type="dcterms:W3CDTF">2026-08-09T06:01:00Z</dcterms:modified>
</cp:coreProperties>
</file>