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DAE" w:rsidRPr="00057DAE" w:rsidRDefault="00057DAE" w:rsidP="00057DA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Risk </w:t>
      </w:r>
      <w:proofErr w:type="gramStart"/>
      <w:r>
        <w:rPr>
          <w:rFonts w:eastAsia="Times New Roman"/>
        </w:rPr>
        <w:t>Matrix :</w:t>
      </w:r>
      <w:proofErr w:type="gramEnd"/>
      <w:r w:rsidRPr="00057DAE">
        <w:rPr>
          <w:rFonts w:eastAsia="Times New Roman"/>
        </w:rPr>
        <w:t xml:space="preserve"> </w:t>
      </w:r>
      <w:proofErr w:type="spellStart"/>
      <w:r w:rsidRPr="00057DAE">
        <w:rPr>
          <w:rFonts w:eastAsia="Times New Roman"/>
        </w:rPr>
        <w:t>VertexOne</w:t>
      </w:r>
      <w:proofErr w:type="spellEnd"/>
      <w:r w:rsidRPr="00057DAE">
        <w:rPr>
          <w:rFonts w:eastAsia="Times New Roman"/>
        </w:rPr>
        <w:t xml:space="preserve"> Digital Services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Draft for Risk Committee Review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br/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br/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Risk Calculation: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Likelihood × Impact</w:t>
      </w:r>
    </w:p>
    <w:p w:rsidR="00057DAE" w:rsidRPr="00057DAE" w:rsidRDefault="00057DAE" w:rsidP="000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DAE" w:rsidRPr="00057DAE" w:rsidRDefault="00057DAE" w:rsidP="00057DAE">
      <w:pPr>
        <w:pStyle w:val="Heading2"/>
        <w:rPr>
          <w:rFonts w:eastAsia="Times New Roman"/>
        </w:rPr>
      </w:pPr>
      <w:r w:rsidRPr="00057DAE">
        <w:rPr>
          <w:rFonts w:eastAsia="Times New Roman"/>
        </w:rPr>
        <w:t>1. Risk Scoring Method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AE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Digital Services calculates risk using the following formula: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Score = Likelihood (1–5) × Impact (1–5)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The resulting score ranges from </w:t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1 to 25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and is mapped to one of four risk rating levels: Low, Medium, High, or Critical.</w:t>
      </w:r>
    </w:p>
    <w:p w:rsidR="00057DAE" w:rsidRPr="00057DAE" w:rsidRDefault="00057DAE" w:rsidP="000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DAE" w:rsidRPr="00057DAE" w:rsidRDefault="00057DAE" w:rsidP="00057DAE">
      <w:pPr>
        <w:pStyle w:val="Heading2"/>
        <w:rPr>
          <w:rFonts w:eastAsia="Times New Roman"/>
        </w:rPr>
      </w:pPr>
      <w:r w:rsidRPr="00057DAE">
        <w:rPr>
          <w:rFonts w:eastAsia="Times New Roman"/>
        </w:rPr>
        <w:t>2. Risk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467"/>
        <w:gridCol w:w="1374"/>
        <w:gridCol w:w="1440"/>
        <w:gridCol w:w="1374"/>
        <w:gridCol w:w="1389"/>
      </w:tblGrid>
      <w:tr w:rsidR="00057DAE" w:rsidRPr="00057DAE" w:rsidTr="00057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 \ Impact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– Negligible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– Minor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– Moderate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– Major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– Severe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– Almost Certain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5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10 – 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15 – High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20 – Critical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25 – Critical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– Likely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4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8 – 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12 – 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16 – High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20 – Critical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– Possible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3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6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9 – 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12 – 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15 – High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– Unlikely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2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4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6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8 – 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10 – Medium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– Rare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2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3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4 – 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5 – Low</w:t>
            </w:r>
          </w:p>
        </w:tc>
      </w:tr>
    </w:tbl>
    <w:p w:rsidR="00057DAE" w:rsidRPr="00057DAE" w:rsidRDefault="00057DAE" w:rsidP="000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7DAE" w:rsidRPr="00057DAE" w:rsidRDefault="00057DAE" w:rsidP="00057DAE">
      <w:pPr>
        <w:pStyle w:val="Heading2"/>
        <w:rPr>
          <w:rFonts w:eastAsia="Times New Roman"/>
        </w:rPr>
      </w:pPr>
      <w:r w:rsidRPr="00057DAE">
        <w:rPr>
          <w:rFonts w:eastAsia="Times New Roman"/>
        </w:rPr>
        <w:t>3. Risk Rating Bands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94"/>
        <w:gridCol w:w="7026"/>
      </w:tblGrid>
      <w:tr w:rsidR="00057DAE" w:rsidRPr="00057DAE" w:rsidTr="00057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Response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1–6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Monitor; no immediate action required unless circumstances change.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7–12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Treat within a defined risk treatment planning cycle.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13–19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Treat as a near-term priority and assign appropriate remediation actions.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20–25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Treat immediately and escalate to the Risk Committee.</w:t>
            </w:r>
          </w:p>
        </w:tc>
      </w:tr>
    </w:tbl>
    <w:p w:rsidR="00057DAE" w:rsidRPr="00057DAE" w:rsidRDefault="00057DAE" w:rsidP="000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7DAE" w:rsidRPr="00057DAE" w:rsidRDefault="00057DAE" w:rsidP="00057DAE">
      <w:pPr>
        <w:pStyle w:val="Heading2"/>
        <w:rPr>
          <w:rFonts w:eastAsia="Times New Roman"/>
        </w:rPr>
      </w:pPr>
      <w:r w:rsidRPr="00057DAE">
        <w:rPr>
          <w:rFonts w:eastAsia="Times New Roman"/>
        </w:rPr>
        <w:t>4. Current Risk Re</w:t>
      </w:r>
      <w:bookmarkStart w:id="0" w:name="_GoBack"/>
      <w:bookmarkEnd w:id="0"/>
      <w:r w:rsidRPr="00057DAE">
        <w:rPr>
          <w:rFonts w:eastAsia="Times New Roman"/>
        </w:rPr>
        <w:t>gister Distribution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Based on the current Risk Register, the distribution of </w:t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inherent risk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057DAE" w:rsidRPr="00057DAE" w:rsidRDefault="00057DAE" w:rsidP="00057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AE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Risks</w:t>
      </w:r>
    </w:p>
    <w:p w:rsidR="00057DAE" w:rsidRPr="00057DAE" w:rsidRDefault="00057DAE" w:rsidP="00057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R-001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Customer SaaS Platform</w:t>
      </w:r>
    </w:p>
    <w:p w:rsidR="00057DAE" w:rsidRPr="00057DAE" w:rsidRDefault="00057DAE" w:rsidP="00057D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R-004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Azure AD / Identity Provider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Total: 2 Critical risks</w:t>
      </w:r>
    </w:p>
    <w:p w:rsidR="00057DAE" w:rsidRPr="00057DAE" w:rsidRDefault="00057DAE" w:rsidP="00057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AE">
        <w:rPr>
          <w:rFonts w:ascii="Times New Roman" w:eastAsia="Times New Roman" w:hAnsi="Times New Roman" w:cs="Times New Roman"/>
          <w:b/>
          <w:bCs/>
          <w:sz w:val="27"/>
          <w:szCs w:val="27"/>
        </w:rPr>
        <w:t>High Risks</w:t>
      </w:r>
    </w:p>
    <w:p w:rsidR="00057DAE" w:rsidRPr="00057DAE" w:rsidRDefault="00057DAE" w:rsidP="00057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R-002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Public Customer Portal</w:t>
      </w:r>
    </w:p>
    <w:p w:rsidR="00057DAE" w:rsidRPr="00057DAE" w:rsidRDefault="00057DAE" w:rsidP="00057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R-003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Azure Storage Accounts</w:t>
      </w:r>
    </w:p>
    <w:p w:rsidR="00057DAE" w:rsidRPr="00057DAE" w:rsidRDefault="00057DAE" w:rsidP="00057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R-006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Internal ERP System</w:t>
      </w:r>
    </w:p>
    <w:p w:rsidR="00057DAE" w:rsidRPr="00057DAE" w:rsidRDefault="00057DAE" w:rsidP="00057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R-007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HR System</w:t>
      </w:r>
    </w:p>
    <w:p w:rsidR="00057DAE" w:rsidRPr="00057DAE" w:rsidRDefault="00057DAE" w:rsidP="00057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R-008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CI/CD Pipeline</w:t>
      </w:r>
    </w:p>
    <w:p w:rsidR="00057DAE" w:rsidRPr="00057DAE" w:rsidRDefault="00057DAE" w:rsidP="00057D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R-015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Backup &amp; Disaster Recovery System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Total: 6 High risks</w:t>
      </w:r>
    </w:p>
    <w:p w:rsidR="00057DAE" w:rsidRPr="00057DAE" w:rsidRDefault="00057DAE" w:rsidP="00057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AE">
        <w:rPr>
          <w:rFonts w:ascii="Times New Roman" w:eastAsia="Times New Roman" w:hAnsi="Times New Roman" w:cs="Times New Roman"/>
          <w:b/>
          <w:bCs/>
          <w:sz w:val="27"/>
          <w:szCs w:val="27"/>
        </w:rPr>
        <w:t>Medium Risks</w:t>
      </w:r>
    </w:p>
    <w:p w:rsidR="00057DAE" w:rsidRPr="00057DAE" w:rsidRDefault="00057DAE" w:rsidP="00057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R-005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Microsoft 365 Tenant</w:t>
      </w:r>
    </w:p>
    <w:p w:rsidR="00057DAE" w:rsidRPr="00057DAE" w:rsidRDefault="00057DAE" w:rsidP="00057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R-009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Employee Endpoints</w:t>
      </w:r>
    </w:p>
    <w:p w:rsidR="00057DAE" w:rsidRPr="00057DAE" w:rsidRDefault="00057DAE" w:rsidP="00057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R-010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Source Code Repository</w:t>
      </w:r>
    </w:p>
    <w:p w:rsidR="00057DAE" w:rsidRPr="00057DAE" w:rsidRDefault="00057DAE" w:rsidP="00057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R-011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Customer Support Ticketing System</w:t>
      </w:r>
    </w:p>
    <w:p w:rsidR="00057DAE" w:rsidRPr="00057DAE" w:rsidRDefault="00057DAE" w:rsidP="00057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R-012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Payment Processing Integration</w:t>
      </w:r>
    </w:p>
    <w:p w:rsidR="00057DAE" w:rsidRPr="00057DAE" w:rsidRDefault="00057DAE" w:rsidP="00057D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R-013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Background-Check Vendor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Total: 6 Medium risks</w:t>
      </w:r>
    </w:p>
    <w:p w:rsidR="00057DAE" w:rsidRPr="00057DAE" w:rsidRDefault="00057DAE" w:rsidP="00057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AE">
        <w:rPr>
          <w:rFonts w:ascii="Times New Roman" w:eastAsia="Times New Roman" w:hAnsi="Times New Roman" w:cs="Times New Roman"/>
          <w:b/>
          <w:bCs/>
          <w:sz w:val="27"/>
          <w:szCs w:val="27"/>
        </w:rPr>
        <w:t>Low Risks</w:t>
      </w:r>
    </w:p>
    <w:p w:rsidR="00057DAE" w:rsidRPr="00057DAE" w:rsidRDefault="00057DAE" w:rsidP="00057D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R-014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— Singapore HQ Office Network</w:t>
      </w: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Total: 1 Low risk</w:t>
      </w:r>
    </w:p>
    <w:p w:rsidR="00057DAE" w:rsidRPr="00057DAE" w:rsidRDefault="00057DAE" w:rsidP="000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DAE" w:rsidRPr="00057DAE" w:rsidRDefault="00057DAE" w:rsidP="00057DAE">
      <w:pPr>
        <w:pStyle w:val="Heading2"/>
        <w:rPr>
          <w:rFonts w:eastAsia="Times New Roman"/>
        </w:rPr>
      </w:pPr>
      <w:r w:rsidRPr="00057DAE">
        <w:rPr>
          <w:rFonts w:eastAsia="Times New Roman"/>
        </w:rPr>
        <w:t>5.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829"/>
      </w:tblGrid>
      <w:tr w:rsidR="00057DAE" w:rsidRPr="00057DAE" w:rsidTr="00057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Inherent Risk Rating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Risks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57DAE" w:rsidRPr="00057DAE" w:rsidTr="00057D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57DAE" w:rsidRPr="00057DAE" w:rsidRDefault="00057DAE" w:rsidP="00057D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The current register contains </w:t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15 identified information security risks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8 risks rated High or Critical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at the inherent risk level. These risks should receive priority during risk treatment planning and ongoing ISMS governance.</w:t>
      </w:r>
    </w:p>
    <w:p w:rsidR="00057DAE" w:rsidRPr="00057DAE" w:rsidRDefault="00057DAE" w:rsidP="00057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DAE" w:rsidRPr="00057DAE" w:rsidRDefault="00057DAE" w:rsidP="00057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Prepared by: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br/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Draft for Risk Committee Review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br/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AE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br/>
      </w:r>
      <w:r w:rsidRPr="00057DA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057DAE">
        <w:rPr>
          <w:rFonts w:ascii="Times New Roman" w:eastAsia="Times New Roman" w:hAnsi="Times New Roman" w:cs="Times New Roman"/>
          <w:sz w:val="24"/>
          <w:szCs w:val="24"/>
        </w:rPr>
        <w:t xml:space="preserve"> Risk Matrix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46AC8"/>
    <w:multiLevelType w:val="multilevel"/>
    <w:tmpl w:val="AA4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B5CC1"/>
    <w:multiLevelType w:val="multilevel"/>
    <w:tmpl w:val="38D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026A7"/>
    <w:multiLevelType w:val="multilevel"/>
    <w:tmpl w:val="04C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937B9"/>
    <w:multiLevelType w:val="multilevel"/>
    <w:tmpl w:val="F11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AE"/>
    <w:rsid w:val="00057DAE"/>
    <w:rsid w:val="00784060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3BC6"/>
  <w15:chartTrackingRefBased/>
  <w15:docId w15:val="{716DABD7-91CB-467B-B1A9-17829372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57DA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057D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7DA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7D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D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2026-08-09T06:06:00Z</dcterms:created>
  <dcterms:modified xsi:type="dcterms:W3CDTF">2026-08-09T06:08:00Z</dcterms:modified>
</cp:coreProperties>
</file>