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734.4" w:hanging="720"/>
        <w:rPr/>
      </w:pPr>
      <w:r w:rsidDel="00000000" w:rsidR="00000000" w:rsidRPr="00000000">
        <w:rPr>
          <w:rtl w:val="0"/>
        </w:rPr>
        <w:t xml:space="preserve">OpenAI. (2026, September 3). </w:t>
      </w:r>
      <w:r w:rsidDel="00000000" w:rsidR="00000000" w:rsidRPr="00000000">
        <w:rPr>
          <w:i w:val="1"/>
          <w:iCs w:val="1"/>
          <w:rtl w:val="0"/>
        </w:rPr>
        <w:t xml:space="preserve">OpenAI and hugging face partner to address security incident during model evaluation</w:t>
      </w:r>
      <w:r w:rsidDel="00000000" w:rsidR="00000000" w:rsidRPr="00000000">
        <w:rPr>
          <w:rtl w:val="0"/>
        </w:rPr>
        <w:t xml:space="preserve">. OpenAI. https://openai.com/index/hugging-face-model-evaluation-security-incident/</w:t>
      </w:r>
    </w:p>
    <w:p w:rsidR="00000000" w:rsidDel="00000000" w:rsidP="00000000" w:rsidRDefault="00000000" w:rsidRPr="00000000" w14:paraId="00000003">
      <w:pPr>
        <w:spacing w:line="480" w:lineRule="auto"/>
        <w:ind w:left="734.4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OpenAI. (2026, May 12). </w:t>
      </w:r>
      <w:r w:rsidDel="00000000" w:rsidR="00000000" w:rsidRPr="00000000">
        <w:rPr>
          <w:i w:val="1"/>
          <w:iCs w:val="1"/>
          <w:rtl w:val="0"/>
        </w:rPr>
        <w:t xml:space="preserve">The hugging face incident and the road ahead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OpenAI. https://openai.com/index/hugging-face-incident-and-the-road-ahead/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