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wdg3fpqe2mx3" w:id="0"/>
      <w:bookmarkEnd w:id="0"/>
      <w:r w:rsidDel="00000000" w:rsidR="00000000" w:rsidRPr="00000000">
        <w:rPr>
          <w:rtl w:val="0"/>
        </w:rPr>
        <w:t xml:space="preserve">Aryan Kumar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AdVise Assignment Documentation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Our solution combines fast rule-based techniques with lightweight NLP models to turn raw chat transcripts into clear, actionable insights.  First, the text is aggressively pre-processed and tokenised with SpaCy, from this we collect several complementary evidence streams—named entities, noun-phrases, adjective–noun and verb–noun compounds, plus problem-specific patterns such as “wrist pain”.  A custom frequency–deduplication algorithm then ranks these candidates, boosting ergonomics- and pain-related terms, to output the “primary topics” in well under 100 ms.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Next, a weighted pattern-matching engine scores commercial intent.  Positive signals (e.g. “I need…”, “can you recommend…”, urgency words) raise the score, while negatives (“already have…”, “don’t need…”) lower it; sentiment and conversation structure (number of user turns, recurring nouns, dominant emotions) add further context, producing a nuanced 0-1 intent value.  Finally, each topic is mapped to product categories through a five-layer matcher: direct keyword dictionaries, category keyword overlap, regex patterns, domain-specific boosts, and related-category propagation.  The result is returned alongside sentiment, urgency and rich “why” explanations, all rendered in a Streamlit dashboard that processes typical conversations end-to-end in under 200 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Example 01:</w:t>
      </w: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Example output 02: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Example 03: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