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F2BD" w14:textId="77777777" w:rsidR="002B2972" w:rsidRPr="002B2972" w:rsidRDefault="002B2972" w:rsidP="002B2972">
      <w:pPr>
        <w:rPr>
          <w:b/>
          <w:bCs/>
        </w:rPr>
      </w:pPr>
      <w:r w:rsidRPr="002B2972">
        <w:rPr>
          <w:b/>
          <w:bCs/>
        </w:rPr>
        <w:t>Quantitative Risk Assessment Using Indicators and Warning Analysis</w:t>
      </w:r>
    </w:p>
    <w:p w14:paraId="3DCC7544" w14:textId="6771A5C5" w:rsidR="002B2972" w:rsidRPr="002B2972" w:rsidRDefault="002B2972" w:rsidP="002B2972">
      <w:pPr>
        <w:rPr>
          <w:b/>
          <w:bCs/>
        </w:rPr>
      </w:pPr>
      <w:r w:rsidRPr="002B2972">
        <w:rPr>
          <w:b/>
          <w:bCs/>
        </w:rPr>
        <w:t xml:space="preserve">American </w:t>
      </w:r>
      <w:r w:rsidR="00BC64D6" w:rsidRPr="002B2972">
        <w:rPr>
          <w:b/>
          <w:bCs/>
        </w:rPr>
        <w:t xml:space="preserve">Express </w:t>
      </w:r>
      <w:r w:rsidR="00BC64D6">
        <w:rPr>
          <w:b/>
          <w:bCs/>
        </w:rPr>
        <w:t>EMV</w:t>
      </w:r>
      <w:r w:rsidRPr="002B2972">
        <w:rPr>
          <w:b/>
          <w:bCs/>
        </w:rPr>
        <w:t xml:space="preserve"> Chip Transition</w:t>
      </w:r>
    </w:p>
    <w:p w14:paraId="67BB81F3" w14:textId="08095DBE" w:rsidR="002B2972" w:rsidRPr="002B2972" w:rsidRDefault="002B2972" w:rsidP="002B2972">
      <w:pPr>
        <w:rPr>
          <w:b/>
          <w:bCs/>
        </w:rPr>
      </w:pPr>
    </w:p>
    <w:p w14:paraId="1F75441C" w14:textId="77777777" w:rsidR="002B2972" w:rsidRPr="002B2972" w:rsidRDefault="002B2972" w:rsidP="002B2972">
      <w:pPr>
        <w:rPr>
          <w:b/>
          <w:bCs/>
        </w:rPr>
      </w:pPr>
      <w:r w:rsidRPr="002B2972">
        <w:rPr>
          <w:b/>
          <w:bCs/>
        </w:rPr>
        <w:t>Introduction</w:t>
      </w:r>
    </w:p>
    <w:p w14:paraId="70C2B12C" w14:textId="010A9067" w:rsidR="002B2972" w:rsidRPr="00284675" w:rsidRDefault="002B2972" w:rsidP="002B2972">
      <w:r w:rsidRPr="00284675">
        <w:t xml:space="preserve">This report summarizes the quantitative risk assessment of three competitive risks identified for American Express during its EMV chip card transition. Building on the qualitative analysis in Assignment 3, this assessment applies the Indicators and Warning (I&amp;W) analysis technique to each risk. The I&amp;W approach identifies specific measurable signals that warn when a risk is </w:t>
      </w:r>
      <w:r w:rsidR="00BC64D6" w:rsidRPr="00284675">
        <w:t>growing and</w:t>
      </w:r>
      <w:r w:rsidRPr="00284675">
        <w:t xml:space="preserve"> assigns quantitative probability and impact values to determine severity. Two quantitative modeling techniques were used: a Random Forest machine learning classifier and a Monte Carlo simulation with 10,000 runs.</w:t>
      </w:r>
    </w:p>
    <w:p w14:paraId="7813DE5D" w14:textId="1F046E54" w:rsidR="002B2972" w:rsidRPr="002B2972" w:rsidRDefault="002B2972" w:rsidP="002B2972">
      <w:pPr>
        <w:rPr>
          <w:b/>
          <w:bCs/>
        </w:rPr>
      </w:pPr>
    </w:p>
    <w:p w14:paraId="17F8A586" w14:textId="77777777" w:rsidR="002B2972" w:rsidRPr="002B2972" w:rsidRDefault="002B2972" w:rsidP="002B2972">
      <w:pPr>
        <w:rPr>
          <w:b/>
          <w:bCs/>
        </w:rPr>
      </w:pPr>
      <w:r w:rsidRPr="002B2972">
        <w:rPr>
          <w:b/>
          <w:bCs/>
        </w:rPr>
        <w:t xml:space="preserve">Risk 1 </w:t>
      </w:r>
    </w:p>
    <w:p w14:paraId="2D469FE1" w14:textId="69E1D6C1" w:rsidR="002B2972" w:rsidRPr="002B2972" w:rsidRDefault="002B2972" w:rsidP="002B2972">
      <w:pPr>
        <w:rPr>
          <w:b/>
          <w:bCs/>
          <w:i/>
          <w:iCs/>
        </w:rPr>
      </w:pPr>
      <w:r w:rsidRPr="002B2972">
        <w:rPr>
          <w:b/>
          <w:bCs/>
          <w:i/>
          <w:iCs/>
        </w:rPr>
        <w:t>R-001: Card-Not-Present (CNP) Fraud (Financial Risk, Score: 56 HIGH)</w:t>
      </w:r>
    </w:p>
    <w:p w14:paraId="09704B97" w14:textId="77777777" w:rsidR="002B2972" w:rsidRPr="00284675" w:rsidRDefault="002B2972" w:rsidP="002B2972">
      <w:r w:rsidRPr="00284675">
        <w:t>The EMV chip transition secured in-store transactions but pushed fraudsters toward online card-not-present channels where chip technology provides no protection. This is a high severity risk with a likelihood score of 7 out of 9 and an impact score of 8 out of 9, giving a risk score of 56.</w:t>
      </w:r>
    </w:p>
    <w:p w14:paraId="341092F5" w14:textId="77777777" w:rsidR="002B2972" w:rsidRPr="00284675" w:rsidRDefault="002B2972" w:rsidP="002B2972">
      <w:r w:rsidRPr="00284675">
        <w:t>The I&amp;W indicator for this risk is the monthly CNP fraud rate. A rate below 0.1% is within tolerance. A rate between 0.1% and 0.3% triggers a review of fraud detection tools. A rate above 0.3% requires immediate escalation. The probability converted from the likelihood score is 77.78% and the expected impact is 0.6914. The Monte Carlo simulation produced a mean score of 56.02 and a worst case of 64.03 at the 95th percentile, both firmly in the High zone. This confirms CNP fraud is a sustained and critical financial threat requiring AI-driven fraud detection and stronger online authentication controls.</w:t>
      </w:r>
    </w:p>
    <w:p w14:paraId="7AE29632" w14:textId="3D025F07" w:rsidR="002B2972" w:rsidRPr="002B2972" w:rsidRDefault="002B2972" w:rsidP="002B2972">
      <w:pPr>
        <w:rPr>
          <w:b/>
          <w:bCs/>
        </w:rPr>
      </w:pPr>
    </w:p>
    <w:p w14:paraId="50655024" w14:textId="77777777" w:rsidR="002B2972" w:rsidRDefault="002B2972" w:rsidP="002B2972">
      <w:pPr>
        <w:rPr>
          <w:b/>
          <w:bCs/>
        </w:rPr>
      </w:pPr>
      <w:r w:rsidRPr="002B2972">
        <w:rPr>
          <w:b/>
          <w:bCs/>
        </w:rPr>
        <w:t xml:space="preserve">Risk 2 </w:t>
      </w:r>
      <w:r>
        <w:rPr>
          <w:b/>
          <w:bCs/>
        </w:rPr>
        <w:t xml:space="preserve"> </w:t>
      </w:r>
    </w:p>
    <w:p w14:paraId="61A8EA28" w14:textId="6622640E" w:rsidR="002B2972" w:rsidRPr="002B2972" w:rsidRDefault="002B2972" w:rsidP="002B2972">
      <w:pPr>
        <w:rPr>
          <w:b/>
          <w:bCs/>
          <w:i/>
          <w:iCs/>
        </w:rPr>
      </w:pPr>
      <w:r w:rsidRPr="002B2972">
        <w:rPr>
          <w:b/>
          <w:bCs/>
          <w:i/>
          <w:iCs/>
        </w:rPr>
        <w:t>R-002: Merchant Terminal Certification Delays (Operational Risk, Score: 42 MEDIUM)</w:t>
      </w:r>
    </w:p>
    <w:p w14:paraId="282BF340" w14:textId="77777777" w:rsidR="002B2972" w:rsidRPr="00284675" w:rsidRDefault="002B2972" w:rsidP="002B2972">
      <w:r w:rsidRPr="00284675">
        <w:t xml:space="preserve">American Express operates a closed-loop network, making its EMV terminal certification process slower and more complex than the open-loop systems used by Visa and Mastercard. Many merchants faced delays getting certified, reducing their willingness to </w:t>
      </w:r>
      <w:r w:rsidRPr="00284675">
        <w:lastRenderedPageBreak/>
        <w:t xml:space="preserve">prioritize American Express acceptance. This risk has a likelihood score of 7 and an impact score of 6, giving a risk score of 42 in the </w:t>
      </w:r>
      <w:proofErr w:type="gramStart"/>
      <w:r w:rsidRPr="00284675">
        <w:t>Medium</w:t>
      </w:r>
      <w:proofErr w:type="gramEnd"/>
      <w:r w:rsidRPr="00284675">
        <w:t xml:space="preserve"> zone.</w:t>
      </w:r>
    </w:p>
    <w:p w14:paraId="391F9540" w14:textId="77777777" w:rsidR="002B2972" w:rsidRPr="00284675" w:rsidRDefault="002B2972" w:rsidP="002B2972">
      <w:r w:rsidRPr="00284675">
        <w:t xml:space="preserve">The I&amp;W indicator is the monthly merchant acceptance rate compared to Visa and Mastercard coverage. Above 85% is within tolerance. Between 75% and 85% triggers a merchant outreach program. Below 75% requires immediate escalation. The probability is 77.78% and the expected impact is 0.5185. The Monte Carlo simulation produced a mean score of 41.94 and a worst case of 48.93. While this risk sits in the </w:t>
      </w:r>
      <w:proofErr w:type="gramStart"/>
      <w:r w:rsidRPr="00284675">
        <w:t>Medium</w:t>
      </w:r>
      <w:proofErr w:type="gramEnd"/>
      <w:r w:rsidRPr="00284675">
        <w:t xml:space="preserve"> zone, the </w:t>
      </w:r>
      <w:proofErr w:type="gramStart"/>
      <w:r w:rsidRPr="00284675">
        <w:t>worst case</w:t>
      </w:r>
      <w:proofErr w:type="gramEnd"/>
      <w:r w:rsidRPr="00284675">
        <w:t xml:space="preserve"> result approaches the High threshold of 54, meaning it could escalate under adverse conditions. Streamlining the certification process and offering merchant incentives are key mitigation steps.</w:t>
      </w:r>
    </w:p>
    <w:p w14:paraId="0BAD782B" w14:textId="79A4A95D" w:rsidR="002B2972" w:rsidRPr="002B2972" w:rsidRDefault="002B2972" w:rsidP="002B2972">
      <w:pPr>
        <w:rPr>
          <w:b/>
          <w:bCs/>
        </w:rPr>
      </w:pPr>
    </w:p>
    <w:p w14:paraId="425E1682" w14:textId="77777777" w:rsidR="002B2972" w:rsidRDefault="002B2972" w:rsidP="002B2972">
      <w:pPr>
        <w:rPr>
          <w:b/>
          <w:bCs/>
        </w:rPr>
      </w:pPr>
      <w:r w:rsidRPr="002B2972">
        <w:rPr>
          <w:b/>
          <w:bCs/>
        </w:rPr>
        <w:t xml:space="preserve">Risk 3  </w:t>
      </w:r>
    </w:p>
    <w:p w14:paraId="18E7BAC7" w14:textId="59C053DC" w:rsidR="002B2972" w:rsidRPr="002B2972" w:rsidRDefault="002B2972" w:rsidP="002B2972">
      <w:pPr>
        <w:rPr>
          <w:b/>
          <w:bCs/>
          <w:i/>
          <w:iCs/>
        </w:rPr>
      </w:pPr>
      <w:r w:rsidRPr="002B2972">
        <w:rPr>
          <w:b/>
          <w:bCs/>
          <w:i/>
          <w:iCs/>
        </w:rPr>
        <w:t>R-003: Merchant Acceptance Loss to Competitors (Competitive Risk, Score: 72 HIGH)</w:t>
      </w:r>
    </w:p>
    <w:p w14:paraId="0CF51DC4" w14:textId="77777777" w:rsidR="002B2972" w:rsidRPr="00284675" w:rsidRDefault="002B2972" w:rsidP="002B2972">
      <w:r w:rsidRPr="00284675">
        <w:t>Visa and Mastercard deployed EMV terminals faster across U.S. merchants due to their open-loop networks, creating a widening acceptance gap that left American Express cardholders experiencing more frequent declines. This is the highest priority risk in the assessment with a likelihood score of 9 out of 9 and an impact score of 8 out of 9, giving a risk score of 72.</w:t>
      </w:r>
    </w:p>
    <w:p w14:paraId="3283A7E5" w14:textId="77777777" w:rsidR="002B2972" w:rsidRPr="002B2972" w:rsidRDefault="002B2972" w:rsidP="002B2972">
      <w:pPr>
        <w:rPr>
          <w:b/>
          <w:bCs/>
        </w:rPr>
      </w:pPr>
      <w:r w:rsidRPr="00284675">
        <w:t xml:space="preserve">The I&amp;W indicator is the month-over-month growth rate of </w:t>
      </w:r>
      <w:proofErr w:type="spellStart"/>
      <w:r w:rsidRPr="00284675">
        <w:t>Expresspay</w:t>
      </w:r>
      <w:proofErr w:type="spellEnd"/>
      <w:r w:rsidRPr="00284675">
        <w:t xml:space="preserve"> and mobile wallet transactions. Above 5% growth is within tolerance. Between 2% and 5% triggers a review of merchant enablement strategy. Below 2% or declining requires an immediate strategic review. The probability is 100% and the expected impact is 0.8889, the highest of all three risks. The Monte Carlo simulation produced a mean score of 70.56 and a worst case of 77.81, approaching the maximum possible score of 81. Across all 10,000 simulated scenarios, this risk remains critically high, confirming it requires the most urgent and comprehensive mitigation response including accelerating </w:t>
      </w:r>
      <w:proofErr w:type="spellStart"/>
      <w:r w:rsidRPr="00284675">
        <w:t>Expresspay</w:t>
      </w:r>
      <w:proofErr w:type="spellEnd"/>
      <w:r w:rsidRPr="00284675">
        <w:t xml:space="preserve"> enrollment and deepening mobile wallet partnerships</w:t>
      </w:r>
      <w:r w:rsidRPr="002B2972">
        <w:rPr>
          <w:b/>
          <w:bCs/>
        </w:rPr>
        <w:t>.</w:t>
      </w:r>
    </w:p>
    <w:p w14:paraId="7FCCBECD" w14:textId="07B38529" w:rsidR="002B2972" w:rsidRPr="002B2972" w:rsidRDefault="002B2972" w:rsidP="002B2972">
      <w:pPr>
        <w:rPr>
          <w:b/>
          <w:bCs/>
        </w:rPr>
      </w:pPr>
    </w:p>
    <w:p w14:paraId="3DF40B93" w14:textId="77777777" w:rsidR="002B2972" w:rsidRDefault="002B2972" w:rsidP="002B2972">
      <w:pPr>
        <w:rPr>
          <w:b/>
          <w:bCs/>
        </w:rPr>
      </w:pPr>
    </w:p>
    <w:p w14:paraId="2770D864" w14:textId="77777777" w:rsidR="002B2972" w:rsidRDefault="002B2972" w:rsidP="002B2972">
      <w:pPr>
        <w:rPr>
          <w:b/>
          <w:bCs/>
        </w:rPr>
      </w:pPr>
    </w:p>
    <w:p w14:paraId="019BC09D" w14:textId="77777777" w:rsidR="002B2972" w:rsidRDefault="002B2972" w:rsidP="002B2972">
      <w:pPr>
        <w:rPr>
          <w:b/>
          <w:bCs/>
        </w:rPr>
      </w:pPr>
    </w:p>
    <w:p w14:paraId="55E41CCD" w14:textId="77777777" w:rsidR="002B2972" w:rsidRDefault="002B2972" w:rsidP="002B2972">
      <w:pPr>
        <w:rPr>
          <w:b/>
          <w:bCs/>
        </w:rPr>
      </w:pPr>
    </w:p>
    <w:p w14:paraId="6CC0AAAB" w14:textId="4F38ECE0" w:rsidR="002B2972" w:rsidRPr="002B2972" w:rsidRDefault="002B2972" w:rsidP="002B2972">
      <w:pPr>
        <w:rPr>
          <w:b/>
          <w:bCs/>
        </w:rPr>
      </w:pPr>
      <w:r w:rsidRPr="002B2972">
        <w:rPr>
          <w:b/>
          <w:bCs/>
        </w:rPr>
        <w:lastRenderedPageBreak/>
        <w:t>Conclusion</w:t>
      </w:r>
    </w:p>
    <w:p w14:paraId="3660470D" w14:textId="77777777" w:rsidR="002B2972" w:rsidRPr="00284675" w:rsidRDefault="002B2972" w:rsidP="002B2972">
      <w:r w:rsidRPr="00284675">
        <w:t>The quantitative assessment using I&amp;W analysis, the Random Forest model, and Monte Carlo simulation confirms the priority ranking from Assignment 3. R-003 is the top priority risk with a mean simulated score of 70.56, followed by R-001 at 56.02 and R-002 at 41.94. The Monte Carlo simulation strengthened the analysis by showing the full range of possible outcomes rather than relying on a single risk score, supporting more informed and evidence-based decisions for American Express.</w:t>
      </w:r>
    </w:p>
    <w:p w14:paraId="26928AFA" w14:textId="30F6D0C3" w:rsidR="002B2972" w:rsidRPr="00284675" w:rsidRDefault="002B2972" w:rsidP="002B2972"/>
    <w:p w14:paraId="67947647" w14:textId="77777777" w:rsidR="002B2972" w:rsidRDefault="002B2972" w:rsidP="002B2972">
      <w:pPr>
        <w:rPr>
          <w:b/>
          <w:bCs/>
        </w:rPr>
      </w:pPr>
    </w:p>
    <w:p w14:paraId="5EEA56B6" w14:textId="04987385" w:rsidR="002B2972" w:rsidRPr="002B2972" w:rsidRDefault="002B2972" w:rsidP="002B2972">
      <w:pPr>
        <w:rPr>
          <w:b/>
          <w:bCs/>
        </w:rPr>
      </w:pPr>
      <w:r w:rsidRPr="002B2972">
        <w:rPr>
          <w:b/>
          <w:bCs/>
        </w:rPr>
        <w:t>References</w:t>
      </w:r>
    </w:p>
    <w:p w14:paraId="5F0D5F4E" w14:textId="1DCC8C3E" w:rsidR="002B2972" w:rsidRPr="00284675" w:rsidRDefault="002B2972" w:rsidP="002B2972">
      <w:proofErr w:type="spellStart"/>
      <w:r w:rsidRPr="00284675">
        <w:t>Jalilvand</w:t>
      </w:r>
      <w:proofErr w:type="spellEnd"/>
      <w:r w:rsidRPr="00284675">
        <w:t xml:space="preserve">, A., &amp; Moorthy, S. (2023). Triangulating risk profile and risk assessment. Journal of Risk and Financial Management, 16(11), 473. </w:t>
      </w:r>
      <w:hyperlink r:id="rId4" w:history="1">
        <w:r w:rsidRPr="0040436F">
          <w:rPr>
            <w:rStyle w:val="Hyperlink"/>
          </w:rPr>
          <w:t>https://doi.org/10.3390/jrfm16110473</w:t>
        </w:r>
      </w:hyperlink>
    </w:p>
    <w:p w14:paraId="60AA6959" w14:textId="77777777" w:rsidR="002B2972" w:rsidRPr="00284675" w:rsidRDefault="002B2972" w:rsidP="002B2972"/>
    <w:p w14:paraId="2D703F78" w14:textId="0625513E" w:rsidR="002B2972" w:rsidRPr="00284675" w:rsidRDefault="002B2972" w:rsidP="002B2972">
      <w:r w:rsidRPr="00284675">
        <w:t xml:space="preserve">Pape, C. (2025). Visa, Mastercard settle merchant suit for nearly $200M. American Banker. </w:t>
      </w:r>
    </w:p>
    <w:p w14:paraId="1F0E0F5A" w14:textId="51472D2C" w:rsidR="002B2972" w:rsidRPr="00284675" w:rsidRDefault="0040436F" w:rsidP="002B2972">
      <w:hyperlink r:id="rId5" w:history="1">
        <w:r w:rsidR="002B2972" w:rsidRPr="0040436F">
          <w:rPr>
            <w:rStyle w:val="Hyperlink"/>
          </w:rPr>
          <w:t>https://www.americanbanker.com/payments/news/visa-mastercard-settle-merchant-suit-for-nearly-200m</w:t>
        </w:r>
      </w:hyperlink>
    </w:p>
    <w:p w14:paraId="136433D6" w14:textId="77777777" w:rsidR="002B2972" w:rsidRPr="00284675" w:rsidRDefault="002B2972" w:rsidP="002B2972"/>
    <w:p w14:paraId="7AA65CC8" w14:textId="14A859C1" w:rsidR="0040436F" w:rsidRPr="0040436F" w:rsidRDefault="0040436F" w:rsidP="0040436F">
      <w:r w:rsidRPr="0040436F">
        <w:t xml:space="preserve">Fitzgerald, K. (2016). Why EMV failed to meet terminal makers' </w:t>
      </w:r>
      <w:proofErr w:type="spellStart"/>
      <w:proofErr w:type="gramStart"/>
      <w:r w:rsidRPr="0040436F">
        <w:t>expectations.American</w:t>
      </w:r>
      <w:proofErr w:type="spellEnd"/>
      <w:proofErr w:type="gramEnd"/>
      <w:r w:rsidRPr="0040436F">
        <w:t xml:space="preserve"> Banker. </w:t>
      </w:r>
      <w:hyperlink r:id="rId6" w:history="1">
        <w:r w:rsidRPr="0040436F">
          <w:rPr>
            <w:rStyle w:val="Hyperlink"/>
          </w:rPr>
          <w:t>https://www.americanbanker.com/payments/news/why-emv-failed-to-meet-terminal-makers-expectations</w:t>
        </w:r>
      </w:hyperlink>
    </w:p>
    <w:p w14:paraId="5B426DEC" w14:textId="77777777" w:rsidR="0040436F" w:rsidRPr="0040436F" w:rsidRDefault="0040436F" w:rsidP="0040436F"/>
    <w:p w14:paraId="1A8AE3BA" w14:textId="77777777" w:rsidR="007D5E31" w:rsidRPr="002B2972" w:rsidRDefault="007D5E31" w:rsidP="002B2972"/>
    <w:sectPr w:rsidR="007D5E31" w:rsidRPr="002B29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31"/>
    <w:rsid w:val="00284675"/>
    <w:rsid w:val="002B2972"/>
    <w:rsid w:val="0040436F"/>
    <w:rsid w:val="007D5E31"/>
    <w:rsid w:val="00826773"/>
    <w:rsid w:val="00BC64D6"/>
    <w:rsid w:val="00F87E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6300"/>
  <w15:chartTrackingRefBased/>
  <w15:docId w15:val="{27B559B6-0EB3-7743-BDC5-8844C154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E31"/>
    <w:rPr>
      <w:rFonts w:eastAsiaTheme="majorEastAsia" w:cstheme="majorBidi"/>
      <w:color w:val="272727" w:themeColor="text1" w:themeTint="D8"/>
    </w:rPr>
  </w:style>
  <w:style w:type="paragraph" w:styleId="Title">
    <w:name w:val="Title"/>
    <w:basedOn w:val="Normal"/>
    <w:next w:val="Normal"/>
    <w:link w:val="TitleChar"/>
    <w:uiPriority w:val="10"/>
    <w:qFormat/>
    <w:rsid w:val="007D5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E31"/>
    <w:pPr>
      <w:spacing w:before="160"/>
      <w:jc w:val="center"/>
    </w:pPr>
    <w:rPr>
      <w:i/>
      <w:iCs/>
      <w:color w:val="404040" w:themeColor="text1" w:themeTint="BF"/>
    </w:rPr>
  </w:style>
  <w:style w:type="character" w:customStyle="1" w:styleId="QuoteChar">
    <w:name w:val="Quote Char"/>
    <w:basedOn w:val="DefaultParagraphFont"/>
    <w:link w:val="Quote"/>
    <w:uiPriority w:val="29"/>
    <w:rsid w:val="007D5E31"/>
    <w:rPr>
      <w:i/>
      <w:iCs/>
      <w:color w:val="404040" w:themeColor="text1" w:themeTint="BF"/>
    </w:rPr>
  </w:style>
  <w:style w:type="paragraph" w:styleId="ListParagraph">
    <w:name w:val="List Paragraph"/>
    <w:basedOn w:val="Normal"/>
    <w:uiPriority w:val="34"/>
    <w:qFormat/>
    <w:rsid w:val="007D5E31"/>
    <w:pPr>
      <w:ind w:left="720"/>
      <w:contextualSpacing/>
    </w:pPr>
  </w:style>
  <w:style w:type="character" w:styleId="IntenseEmphasis">
    <w:name w:val="Intense Emphasis"/>
    <w:basedOn w:val="DefaultParagraphFont"/>
    <w:uiPriority w:val="21"/>
    <w:qFormat/>
    <w:rsid w:val="007D5E31"/>
    <w:rPr>
      <w:i/>
      <w:iCs/>
      <w:color w:val="0F4761" w:themeColor="accent1" w:themeShade="BF"/>
    </w:rPr>
  </w:style>
  <w:style w:type="paragraph" w:styleId="IntenseQuote">
    <w:name w:val="Intense Quote"/>
    <w:basedOn w:val="Normal"/>
    <w:next w:val="Normal"/>
    <w:link w:val="IntenseQuoteChar"/>
    <w:uiPriority w:val="30"/>
    <w:qFormat/>
    <w:rsid w:val="007D5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E31"/>
    <w:rPr>
      <w:i/>
      <w:iCs/>
      <w:color w:val="0F4761" w:themeColor="accent1" w:themeShade="BF"/>
    </w:rPr>
  </w:style>
  <w:style w:type="character" w:styleId="IntenseReference">
    <w:name w:val="Intense Reference"/>
    <w:basedOn w:val="DefaultParagraphFont"/>
    <w:uiPriority w:val="32"/>
    <w:qFormat/>
    <w:rsid w:val="007D5E31"/>
    <w:rPr>
      <w:b/>
      <w:bCs/>
      <w:smallCaps/>
      <w:color w:val="0F4761" w:themeColor="accent1" w:themeShade="BF"/>
      <w:spacing w:val="5"/>
    </w:rPr>
  </w:style>
  <w:style w:type="character" w:styleId="Hyperlink">
    <w:name w:val="Hyperlink"/>
    <w:basedOn w:val="DefaultParagraphFont"/>
    <w:uiPriority w:val="99"/>
    <w:unhideWhenUsed/>
    <w:rsid w:val="0040436F"/>
    <w:rPr>
      <w:color w:val="467886" w:themeColor="hyperlink"/>
      <w:u w:val="single"/>
    </w:rPr>
  </w:style>
  <w:style w:type="character" w:styleId="UnresolvedMention">
    <w:name w:val="Unresolved Mention"/>
    <w:basedOn w:val="DefaultParagraphFont"/>
    <w:uiPriority w:val="99"/>
    <w:semiHidden/>
    <w:unhideWhenUsed/>
    <w:rsid w:val="00404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ericanbanker.com/payments/news/why-emv-failed-to-meet-terminal-makers-expectations" TargetMode="External"/><Relationship Id="rId5" Type="http://schemas.openxmlformats.org/officeDocument/2006/relationships/hyperlink" Target="https://www.americanbanker.com/payments/news/visa-mastercard-settle-merchant-suit-for-nearly-200m" TargetMode="External"/><Relationship Id="rId4" Type="http://schemas.openxmlformats.org/officeDocument/2006/relationships/hyperlink" Target="https://www.mdpi.com/1911-8074/16/11/4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786</Words>
  <Characters>4576</Characters>
  <Application>Microsoft Office Word</Application>
  <DocSecurity>0</DocSecurity>
  <Lines>93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Okolo</dc:creator>
  <cp:keywords/>
  <dc:description/>
  <cp:lastModifiedBy>Lawrence Okolo</cp:lastModifiedBy>
  <cp:revision>2</cp:revision>
  <dcterms:created xsi:type="dcterms:W3CDTF">2026-03-18T03:22:00Z</dcterms:created>
  <dcterms:modified xsi:type="dcterms:W3CDTF">2026-03-18T03:22:00Z</dcterms:modified>
</cp:coreProperties>
</file>