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5A7FF5" w14:textId="77777777" w:rsidR="00154EE0" w:rsidRDefault="00000000">
      <w:pPr>
        <w:spacing w:after="40"/>
        <w:jc w:val="center"/>
      </w:pPr>
      <w:r>
        <w:rPr>
          <w:rFonts w:ascii="Calibri" w:eastAsia="Calibri" w:hAnsi="Calibri" w:cs="Calibri"/>
          <w:b/>
          <w:bCs/>
          <w:color w:val="3F6A95"/>
          <w:sz w:val="40"/>
          <w:szCs w:val="40"/>
        </w:rPr>
        <w:t>Wealth Management Lakehouse</w:t>
      </w:r>
    </w:p>
    <w:p w14:paraId="4EEBC394" w14:textId="77777777" w:rsidR="00154EE0" w:rsidRDefault="00000000">
      <w:pPr>
        <w:spacing w:after="60"/>
        <w:jc w:val="center"/>
      </w:pPr>
      <w:r>
        <w:rPr>
          <w:rFonts w:ascii="Calibri" w:eastAsia="Calibri" w:hAnsi="Calibri" w:cs="Calibri"/>
          <w:color w:val="667385"/>
          <w:sz w:val="26"/>
          <w:szCs w:val="26"/>
        </w:rPr>
        <w:t>Project Report</w:t>
      </w:r>
    </w:p>
    <w:p w14:paraId="45BADC0F" w14:textId="5BB488DF" w:rsidR="00154EE0" w:rsidRDefault="00000000">
      <w:pPr>
        <w:spacing w:after="400"/>
        <w:jc w:val="center"/>
      </w:pPr>
      <w:r>
        <w:rPr>
          <w:rFonts w:ascii="Calibri" w:eastAsia="Calibri" w:hAnsi="Calibri" w:cs="Calibri"/>
          <w:color w:val="667385"/>
        </w:rPr>
        <w:t xml:space="preserve">Aryan </w:t>
      </w:r>
      <w:r w:rsidR="002D58C3">
        <w:rPr>
          <w:rFonts w:ascii="Calibri" w:eastAsia="Calibri" w:hAnsi="Calibri" w:cs="Calibri"/>
          <w:color w:val="667385"/>
        </w:rPr>
        <w:t xml:space="preserve">Bansal </w:t>
      </w:r>
      <w:proofErr w:type="gramStart"/>
      <w:r w:rsidR="002D58C3">
        <w:rPr>
          <w:rFonts w:ascii="Calibri" w:eastAsia="Calibri" w:hAnsi="Calibri" w:cs="Calibri"/>
          <w:color w:val="667385"/>
        </w:rPr>
        <w:t>|</w:t>
      </w:r>
      <w:r>
        <w:rPr>
          <w:rFonts w:ascii="Calibri" w:eastAsia="Calibri" w:hAnsi="Calibri" w:cs="Calibri"/>
          <w:color w:val="667385"/>
        </w:rPr>
        <w:t xml:space="preserve">  Databricks</w:t>
      </w:r>
      <w:proofErr w:type="gramEnd"/>
      <w:r>
        <w:rPr>
          <w:rFonts w:ascii="Calibri" w:eastAsia="Calibri" w:hAnsi="Calibri" w:cs="Calibri"/>
          <w:color w:val="667385"/>
        </w:rPr>
        <w:t xml:space="preserve">, </w:t>
      </w:r>
      <w:proofErr w:type="spellStart"/>
      <w:r>
        <w:rPr>
          <w:rFonts w:ascii="Calibri" w:eastAsia="Calibri" w:hAnsi="Calibri" w:cs="Calibri"/>
          <w:color w:val="667385"/>
        </w:rPr>
        <w:t>PySpark</w:t>
      </w:r>
      <w:proofErr w:type="spellEnd"/>
      <w:r>
        <w:rPr>
          <w:rFonts w:ascii="Calibri" w:eastAsia="Calibri" w:hAnsi="Calibri" w:cs="Calibri"/>
          <w:color w:val="667385"/>
        </w:rPr>
        <w:t>, Delta Lake, Spark SQL</w:t>
      </w:r>
    </w:p>
    <w:p w14:paraId="2C98F661" w14:textId="77777777" w:rsidR="00154EE0" w:rsidRDefault="00000000">
      <w:pPr>
        <w:pStyle w:val="Heading1"/>
        <w:spacing w:before="300" w:after="150"/>
      </w:pPr>
      <w:r>
        <w:rPr>
          <w:rFonts w:ascii="Calibri" w:eastAsia="Calibri" w:hAnsi="Calibri" w:cs="Calibri"/>
          <w:b/>
          <w:bCs/>
          <w:color w:val="3F6A95"/>
          <w:sz w:val="30"/>
          <w:szCs w:val="30"/>
        </w:rPr>
        <w:t>Overview</w:t>
      </w:r>
    </w:p>
    <w:p w14:paraId="0330B34B" w14:textId="77777777" w:rsidR="00154EE0" w:rsidRDefault="00000000">
      <w:pPr>
        <w:spacing w:after="180" w:line="276" w:lineRule="auto"/>
      </w:pPr>
      <w:r>
        <w:rPr>
          <w:rFonts w:ascii="Calibri" w:eastAsia="Calibri" w:hAnsi="Calibri" w:cs="Calibri"/>
          <w:sz w:val="22"/>
          <w:szCs w:val="22"/>
        </w:rPr>
        <w:t xml:space="preserve">This project builds an end-to-end data pipeline on Databricks for a retail banking customer dataset, following the Medallion architecture pattern: </w:t>
      </w:r>
      <w:proofErr w:type="gramStart"/>
      <w:r>
        <w:rPr>
          <w:rFonts w:ascii="Calibri" w:eastAsia="Calibri" w:hAnsi="Calibri" w:cs="Calibri"/>
          <w:sz w:val="22"/>
          <w:szCs w:val="22"/>
        </w:rPr>
        <w:t>Bronze, Silver, and Gold</w:t>
      </w:r>
      <w:proofErr w:type="gramEnd"/>
      <w:r>
        <w:rPr>
          <w:rFonts w:ascii="Calibri" w:eastAsia="Calibri" w:hAnsi="Calibri" w:cs="Calibri"/>
          <w:sz w:val="22"/>
          <w:szCs w:val="22"/>
        </w:rPr>
        <w:t xml:space="preserve"> layers. The goal is to take raw, messy customer and portfolio data and turn it into clean, business-ready reporting tables, then use those tables to investigate what actually drives customer churn.</w:t>
      </w:r>
    </w:p>
    <w:p w14:paraId="7E5B05BB" w14:textId="77777777" w:rsidR="00154EE0" w:rsidRDefault="00000000">
      <w:pPr>
        <w:spacing w:after="180" w:line="276" w:lineRule="auto"/>
      </w:pPr>
      <w:r>
        <w:rPr>
          <w:rFonts w:ascii="Calibri" w:eastAsia="Calibri" w:hAnsi="Calibri" w:cs="Calibri"/>
          <w:sz w:val="22"/>
          <w:szCs w:val="22"/>
        </w:rPr>
        <w:t>The dataset covers 10,000 retail banking customers after cleaning, with 42 fields spanning demographics, credit profile, investment holdings across 8 product categories, account activity, and churn status.</w:t>
      </w:r>
    </w:p>
    <w:p w14:paraId="04F7CDB4" w14:textId="77777777" w:rsidR="00154EE0" w:rsidRDefault="00000000">
      <w:pPr>
        <w:pStyle w:val="Heading1"/>
        <w:spacing w:before="300" w:after="150"/>
      </w:pPr>
      <w:r>
        <w:rPr>
          <w:rFonts w:ascii="Calibri" w:eastAsia="Calibri" w:hAnsi="Calibri" w:cs="Calibri"/>
          <w:b/>
          <w:bCs/>
          <w:color w:val="3F6A95"/>
          <w:sz w:val="30"/>
          <w:szCs w:val="30"/>
        </w:rPr>
        <w:t>Architecture</w:t>
      </w:r>
    </w:p>
    <w:p w14:paraId="319B12B0" w14:textId="77777777" w:rsidR="00154EE0" w:rsidRDefault="00000000">
      <w:pPr>
        <w:spacing w:after="180" w:line="276" w:lineRule="auto"/>
      </w:pPr>
      <w:r>
        <w:rPr>
          <w:rFonts w:ascii="Calibri" w:eastAsia="Calibri" w:hAnsi="Calibri" w:cs="Calibri"/>
          <w:sz w:val="22"/>
          <w:szCs w:val="22"/>
        </w:rPr>
        <w:t>The pipeline is structured in three layers, each with a distinct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154EE0" w14:paraId="66232C7A" w14:textId="77777777">
        <w:tblPrEx>
          <w:tblCellMar>
            <w:top w:w="0" w:type="dxa"/>
            <w:bottom w:w="0" w:type="dxa"/>
          </w:tblCellMar>
        </w:tblPrEx>
        <w:tc>
          <w:tcPr>
            <w:tcW w:w="1600" w:type="dxa"/>
            <w:shd w:val="clear" w:color="auto" w:fill="EAF0F7"/>
            <w:tcMar>
              <w:top w:w="80" w:type="dxa"/>
              <w:left w:w="100" w:type="dxa"/>
              <w:bottom w:w="80" w:type="dxa"/>
              <w:right w:w="100" w:type="dxa"/>
            </w:tcMar>
          </w:tcPr>
          <w:p w14:paraId="2528A86E" w14:textId="77777777" w:rsidR="00154EE0" w:rsidRDefault="00000000">
            <w:r>
              <w:rPr>
                <w:rFonts w:ascii="Calibri" w:eastAsia="Calibri" w:hAnsi="Calibri" w:cs="Calibri"/>
                <w:b/>
                <w:bCs/>
                <w:color w:val="3F6A95"/>
              </w:rPr>
              <w:t>Layer</w:t>
            </w:r>
          </w:p>
        </w:tc>
        <w:tc>
          <w:tcPr>
            <w:tcW w:w="3200" w:type="dxa"/>
            <w:shd w:val="clear" w:color="auto" w:fill="EAF0F7"/>
            <w:tcMar>
              <w:top w:w="80" w:type="dxa"/>
              <w:left w:w="100" w:type="dxa"/>
              <w:bottom w:w="80" w:type="dxa"/>
              <w:right w:w="100" w:type="dxa"/>
            </w:tcMar>
          </w:tcPr>
          <w:p w14:paraId="23D24A2C" w14:textId="77777777" w:rsidR="00154EE0" w:rsidRDefault="00000000">
            <w:r>
              <w:rPr>
                <w:rFonts w:ascii="Calibri" w:eastAsia="Calibri" w:hAnsi="Calibri" w:cs="Calibri"/>
                <w:b/>
                <w:bCs/>
                <w:color w:val="3F6A95"/>
              </w:rPr>
              <w:t>Purpose</w:t>
            </w:r>
          </w:p>
        </w:tc>
        <w:tc>
          <w:tcPr>
            <w:tcW w:w="4560" w:type="dxa"/>
            <w:shd w:val="clear" w:color="auto" w:fill="EAF0F7"/>
            <w:tcMar>
              <w:top w:w="80" w:type="dxa"/>
              <w:left w:w="100" w:type="dxa"/>
              <w:bottom w:w="80" w:type="dxa"/>
              <w:right w:w="100" w:type="dxa"/>
            </w:tcMar>
          </w:tcPr>
          <w:p w14:paraId="55743507" w14:textId="77777777" w:rsidR="00154EE0" w:rsidRDefault="00000000">
            <w:r>
              <w:rPr>
                <w:rFonts w:ascii="Calibri" w:eastAsia="Calibri" w:hAnsi="Calibri" w:cs="Calibri"/>
                <w:b/>
                <w:bCs/>
                <w:color w:val="3F6A95"/>
              </w:rPr>
              <w:t>What Happens</w:t>
            </w:r>
          </w:p>
        </w:tc>
      </w:tr>
      <w:tr w:rsidR="00154EE0" w14:paraId="37DBF8AB" w14:textId="77777777">
        <w:tblPrEx>
          <w:tblCellMar>
            <w:top w:w="0" w:type="dxa"/>
            <w:bottom w:w="0" w:type="dxa"/>
          </w:tblCellMar>
        </w:tblPrEx>
        <w:tc>
          <w:tcPr>
            <w:tcW w:w="1600" w:type="dxa"/>
            <w:tcMar>
              <w:top w:w="80" w:type="dxa"/>
              <w:left w:w="100" w:type="dxa"/>
              <w:bottom w:w="80" w:type="dxa"/>
              <w:right w:w="100" w:type="dxa"/>
            </w:tcMar>
          </w:tcPr>
          <w:p w14:paraId="6E6E237A" w14:textId="77777777" w:rsidR="00154EE0" w:rsidRDefault="00000000">
            <w:r>
              <w:rPr>
                <w:rFonts w:ascii="Calibri" w:eastAsia="Calibri" w:hAnsi="Calibri" w:cs="Calibri"/>
                <w:color w:val="22303F"/>
              </w:rPr>
              <w:t>Bronze</w:t>
            </w:r>
          </w:p>
        </w:tc>
        <w:tc>
          <w:tcPr>
            <w:tcW w:w="3200" w:type="dxa"/>
            <w:tcMar>
              <w:top w:w="80" w:type="dxa"/>
              <w:left w:w="100" w:type="dxa"/>
              <w:bottom w:w="80" w:type="dxa"/>
              <w:right w:w="100" w:type="dxa"/>
            </w:tcMar>
          </w:tcPr>
          <w:p w14:paraId="1253F363" w14:textId="77777777" w:rsidR="00154EE0" w:rsidRDefault="00000000">
            <w:r>
              <w:rPr>
                <w:rFonts w:ascii="Calibri" w:eastAsia="Calibri" w:hAnsi="Calibri" w:cs="Calibri"/>
                <w:color w:val="22303F"/>
              </w:rPr>
              <w:t>Raw ingestion</w:t>
            </w:r>
          </w:p>
        </w:tc>
        <w:tc>
          <w:tcPr>
            <w:tcW w:w="4560" w:type="dxa"/>
            <w:tcMar>
              <w:top w:w="80" w:type="dxa"/>
              <w:left w:w="100" w:type="dxa"/>
              <w:bottom w:w="80" w:type="dxa"/>
              <w:right w:w="100" w:type="dxa"/>
            </w:tcMar>
          </w:tcPr>
          <w:p w14:paraId="39ACDE61" w14:textId="197D4168" w:rsidR="00154EE0" w:rsidRDefault="00000000">
            <w:r>
              <w:rPr>
                <w:rFonts w:ascii="Calibri" w:eastAsia="Calibri" w:hAnsi="Calibri" w:cs="Calibri"/>
                <w:color w:val="22303F"/>
              </w:rPr>
              <w:t>Reads the raw customer CSV as</w:t>
            </w:r>
            <w:r w:rsidR="002D58C3">
              <w:rPr>
                <w:rFonts w:ascii="Calibri" w:eastAsia="Calibri" w:hAnsi="Calibri" w:cs="Calibri"/>
                <w:color w:val="22303F"/>
              </w:rPr>
              <w:t xml:space="preserve"> </w:t>
            </w:r>
            <w:r>
              <w:rPr>
                <w:rFonts w:ascii="Calibri" w:eastAsia="Calibri" w:hAnsi="Calibri" w:cs="Calibri"/>
                <w:color w:val="22303F"/>
              </w:rPr>
              <w:t>is, with schema inference. No cleaning or transformation.</w:t>
            </w:r>
          </w:p>
        </w:tc>
      </w:tr>
      <w:tr w:rsidR="00154EE0" w14:paraId="2386864B" w14:textId="77777777">
        <w:tblPrEx>
          <w:tblCellMar>
            <w:top w:w="0" w:type="dxa"/>
            <w:bottom w:w="0" w:type="dxa"/>
          </w:tblCellMar>
        </w:tblPrEx>
        <w:tc>
          <w:tcPr>
            <w:tcW w:w="1600" w:type="dxa"/>
            <w:tcMar>
              <w:top w:w="80" w:type="dxa"/>
              <w:left w:w="100" w:type="dxa"/>
              <w:bottom w:w="80" w:type="dxa"/>
              <w:right w:w="100" w:type="dxa"/>
            </w:tcMar>
          </w:tcPr>
          <w:p w14:paraId="0CDF9243" w14:textId="77777777" w:rsidR="00154EE0" w:rsidRDefault="00000000">
            <w:r>
              <w:rPr>
                <w:rFonts w:ascii="Calibri" w:eastAsia="Calibri" w:hAnsi="Calibri" w:cs="Calibri"/>
                <w:color w:val="22303F"/>
              </w:rPr>
              <w:t>Silver</w:t>
            </w:r>
          </w:p>
        </w:tc>
        <w:tc>
          <w:tcPr>
            <w:tcW w:w="3200" w:type="dxa"/>
            <w:tcMar>
              <w:top w:w="80" w:type="dxa"/>
              <w:left w:w="100" w:type="dxa"/>
              <w:bottom w:w="80" w:type="dxa"/>
              <w:right w:w="100" w:type="dxa"/>
            </w:tcMar>
          </w:tcPr>
          <w:p w14:paraId="77FADB85" w14:textId="77777777" w:rsidR="00154EE0" w:rsidRDefault="00000000">
            <w:r>
              <w:rPr>
                <w:rFonts w:ascii="Calibri" w:eastAsia="Calibri" w:hAnsi="Calibri" w:cs="Calibri"/>
                <w:color w:val="22303F"/>
              </w:rPr>
              <w:t>Cleaning &amp; feature engineering</w:t>
            </w:r>
          </w:p>
        </w:tc>
        <w:tc>
          <w:tcPr>
            <w:tcW w:w="4560" w:type="dxa"/>
            <w:tcMar>
              <w:top w:w="80" w:type="dxa"/>
              <w:left w:w="100" w:type="dxa"/>
              <w:bottom w:w="80" w:type="dxa"/>
              <w:right w:w="100" w:type="dxa"/>
            </w:tcMar>
          </w:tcPr>
          <w:p w14:paraId="6DC46C95" w14:textId="1B989C53" w:rsidR="00154EE0" w:rsidRDefault="00000000">
            <w:r>
              <w:rPr>
                <w:rFonts w:ascii="Calibri" w:eastAsia="Calibri" w:hAnsi="Calibri" w:cs="Calibri"/>
                <w:color w:val="22303F"/>
              </w:rPr>
              <w:t xml:space="preserve">Fixes column names, drops unusable columns, filters invalid records, and </w:t>
            </w:r>
            <w:r w:rsidR="002D58C3">
              <w:rPr>
                <w:rFonts w:ascii="Calibri" w:eastAsia="Calibri" w:hAnsi="Calibri" w:cs="Calibri"/>
                <w:color w:val="22303F"/>
              </w:rPr>
              <w:t>engineers’</w:t>
            </w:r>
            <w:r>
              <w:rPr>
                <w:rFonts w:ascii="Calibri" w:eastAsia="Calibri" w:hAnsi="Calibri" w:cs="Calibri"/>
                <w:color w:val="22303F"/>
              </w:rPr>
              <w:t xml:space="preserve"> new fields: Wealth Tier, Age Group, Credit Band, total investment count, and salary-to-debt ratio.</w:t>
            </w:r>
          </w:p>
        </w:tc>
      </w:tr>
      <w:tr w:rsidR="00154EE0" w14:paraId="7D7DEBD9" w14:textId="77777777">
        <w:tblPrEx>
          <w:tblCellMar>
            <w:top w:w="0" w:type="dxa"/>
            <w:bottom w:w="0" w:type="dxa"/>
          </w:tblCellMar>
        </w:tblPrEx>
        <w:tc>
          <w:tcPr>
            <w:tcW w:w="1600" w:type="dxa"/>
            <w:tcMar>
              <w:top w:w="80" w:type="dxa"/>
              <w:left w:w="100" w:type="dxa"/>
              <w:bottom w:w="80" w:type="dxa"/>
              <w:right w:w="100" w:type="dxa"/>
            </w:tcMar>
          </w:tcPr>
          <w:p w14:paraId="7ADAAFF4" w14:textId="77777777" w:rsidR="00154EE0" w:rsidRDefault="00000000">
            <w:r>
              <w:rPr>
                <w:rFonts w:ascii="Calibri" w:eastAsia="Calibri" w:hAnsi="Calibri" w:cs="Calibri"/>
                <w:color w:val="22303F"/>
              </w:rPr>
              <w:t>Gold</w:t>
            </w:r>
          </w:p>
        </w:tc>
        <w:tc>
          <w:tcPr>
            <w:tcW w:w="3200" w:type="dxa"/>
            <w:tcMar>
              <w:top w:w="80" w:type="dxa"/>
              <w:left w:w="100" w:type="dxa"/>
              <w:bottom w:w="80" w:type="dxa"/>
              <w:right w:w="100" w:type="dxa"/>
            </w:tcMar>
          </w:tcPr>
          <w:p w14:paraId="329D1323" w14:textId="77777777" w:rsidR="00154EE0" w:rsidRDefault="00000000">
            <w:r>
              <w:rPr>
                <w:rFonts w:ascii="Calibri" w:eastAsia="Calibri" w:hAnsi="Calibri" w:cs="Calibri"/>
                <w:color w:val="22303F"/>
              </w:rPr>
              <w:t>Business aggregation</w:t>
            </w:r>
          </w:p>
        </w:tc>
        <w:tc>
          <w:tcPr>
            <w:tcW w:w="4560" w:type="dxa"/>
            <w:tcMar>
              <w:top w:w="80" w:type="dxa"/>
              <w:left w:w="100" w:type="dxa"/>
              <w:bottom w:w="80" w:type="dxa"/>
              <w:right w:w="100" w:type="dxa"/>
            </w:tcMar>
          </w:tcPr>
          <w:p w14:paraId="4EF3E3FB" w14:textId="77777777" w:rsidR="00154EE0" w:rsidRDefault="00000000">
            <w:r>
              <w:rPr>
                <w:rFonts w:ascii="Calibri" w:eastAsia="Calibri" w:hAnsi="Calibri" w:cs="Calibri"/>
                <w:color w:val="22303F"/>
              </w:rPr>
              <w:t>Groups the cleaned data into reporting-ready summary tables by Wealth Tier, Age Group, and Country, each with averages and churn totals.</w:t>
            </w:r>
          </w:p>
        </w:tc>
      </w:tr>
    </w:tbl>
    <w:p w14:paraId="62CDD19A" w14:textId="77777777" w:rsidR="00154EE0" w:rsidRDefault="00000000">
      <w:pPr>
        <w:pStyle w:val="Heading1"/>
        <w:spacing w:before="300" w:after="150"/>
      </w:pPr>
      <w:r>
        <w:rPr>
          <w:rFonts w:ascii="Calibri" w:eastAsia="Calibri" w:hAnsi="Calibri" w:cs="Calibri"/>
          <w:b/>
          <w:bCs/>
          <w:color w:val="3F6A95"/>
          <w:sz w:val="30"/>
          <w:szCs w:val="30"/>
        </w:rPr>
        <w:t>Methodology</w:t>
      </w:r>
    </w:p>
    <w:p w14:paraId="0CEEDED5" w14:textId="77777777" w:rsidR="00154EE0" w:rsidRDefault="00000000">
      <w:pPr>
        <w:pStyle w:val="Heading2"/>
        <w:spacing w:before="240" w:after="120"/>
      </w:pPr>
      <w:r>
        <w:rPr>
          <w:rFonts w:ascii="Calibri" w:eastAsia="Calibri" w:hAnsi="Calibri" w:cs="Calibri"/>
          <w:b/>
          <w:bCs/>
          <w:color w:val="22303F"/>
          <w:sz w:val="24"/>
          <w:szCs w:val="24"/>
        </w:rPr>
        <w:t>Bronze Layer</w:t>
      </w:r>
    </w:p>
    <w:p w14:paraId="42E75BB5" w14:textId="77777777" w:rsidR="00154EE0" w:rsidRDefault="00000000">
      <w:pPr>
        <w:spacing w:after="180" w:line="276" w:lineRule="auto"/>
      </w:pPr>
      <w:r>
        <w:rPr>
          <w:rFonts w:ascii="Calibri" w:eastAsia="Calibri" w:hAnsi="Calibri" w:cs="Calibri"/>
          <w:sz w:val="22"/>
          <w:szCs w:val="22"/>
        </w:rPr>
        <w:t>Raw data (10,001 records, 39 columns) is read directly from a CSV source with header and schema inference enabled, with no modification.</w:t>
      </w:r>
    </w:p>
    <w:p w14:paraId="40B60FC9" w14:textId="77777777" w:rsidR="00154EE0" w:rsidRDefault="00000000">
      <w:pPr>
        <w:pStyle w:val="Heading2"/>
        <w:spacing w:before="240" w:after="120"/>
      </w:pPr>
      <w:r>
        <w:rPr>
          <w:rFonts w:ascii="Calibri" w:eastAsia="Calibri" w:hAnsi="Calibri" w:cs="Calibri"/>
          <w:b/>
          <w:bCs/>
          <w:color w:val="22303F"/>
          <w:sz w:val="24"/>
          <w:szCs w:val="24"/>
        </w:rPr>
        <w:t>Silver Layer</w:t>
      </w:r>
    </w:p>
    <w:p w14:paraId="2388747A" w14:textId="77777777" w:rsidR="00154EE0" w:rsidRDefault="00000000">
      <w:pPr>
        <w:spacing w:after="180" w:line="276" w:lineRule="auto"/>
      </w:pPr>
      <w:r>
        <w:rPr>
          <w:rFonts w:ascii="Calibri" w:eastAsia="Calibri" w:hAnsi="Calibri" w:cs="Calibri"/>
          <w:sz w:val="22"/>
          <w:szCs w:val="22"/>
        </w:rPr>
        <w:t>The raw data is cleaned and enriched. Records with invalid age, salary, or credit score are filtered out, leaving 10,000 clean records across 42 columns. Five business-friendly features are engineered on top of the raw fields:</w:t>
      </w:r>
    </w:p>
    <w:p w14:paraId="44E939B9" w14:textId="77777777" w:rsidR="00154EE0" w:rsidRDefault="00000000">
      <w:pPr>
        <w:pStyle w:val="ListParagraph"/>
        <w:numPr>
          <w:ilvl w:val="0"/>
          <w:numId w:val="1"/>
        </w:numPr>
        <w:spacing w:after="100" w:line="276" w:lineRule="auto"/>
        <w:ind w:left="360"/>
      </w:pPr>
      <w:r>
        <w:rPr>
          <w:rFonts w:ascii="Calibri" w:eastAsia="Calibri" w:hAnsi="Calibri" w:cs="Calibri"/>
          <w:sz w:val="22"/>
          <w:szCs w:val="22"/>
        </w:rPr>
        <w:t>Wealth Tier: customers grouped into Affluent or Mass Market bands based on net assets</w:t>
      </w:r>
    </w:p>
    <w:p w14:paraId="42583A09" w14:textId="77777777" w:rsidR="00154EE0" w:rsidRDefault="00000000">
      <w:pPr>
        <w:pStyle w:val="ListParagraph"/>
        <w:numPr>
          <w:ilvl w:val="0"/>
          <w:numId w:val="1"/>
        </w:numPr>
        <w:spacing w:after="100" w:line="276" w:lineRule="auto"/>
        <w:ind w:left="360"/>
      </w:pPr>
      <w:r>
        <w:rPr>
          <w:rFonts w:ascii="Calibri" w:eastAsia="Calibri" w:hAnsi="Calibri" w:cs="Calibri"/>
          <w:sz w:val="22"/>
          <w:szCs w:val="22"/>
        </w:rPr>
        <w:t>Age Group: Under 30, 30s, 40s, 50s, or 60+</w:t>
      </w:r>
    </w:p>
    <w:p w14:paraId="4DB73E37" w14:textId="68F87F57" w:rsidR="00154EE0" w:rsidRDefault="00000000">
      <w:pPr>
        <w:pStyle w:val="ListParagraph"/>
        <w:numPr>
          <w:ilvl w:val="0"/>
          <w:numId w:val="1"/>
        </w:numPr>
        <w:spacing w:after="100" w:line="276" w:lineRule="auto"/>
        <w:ind w:left="360"/>
      </w:pPr>
      <w:r>
        <w:rPr>
          <w:rFonts w:ascii="Calibri" w:eastAsia="Calibri" w:hAnsi="Calibri" w:cs="Calibri"/>
          <w:sz w:val="22"/>
          <w:szCs w:val="22"/>
        </w:rPr>
        <w:t xml:space="preserve">Credit Band: Excellent, </w:t>
      </w:r>
      <w:r w:rsidR="002D58C3">
        <w:rPr>
          <w:rFonts w:ascii="Calibri" w:eastAsia="Calibri" w:hAnsi="Calibri" w:cs="Calibri"/>
          <w:sz w:val="22"/>
          <w:szCs w:val="22"/>
        </w:rPr>
        <w:t>good</w:t>
      </w:r>
      <w:r>
        <w:rPr>
          <w:rFonts w:ascii="Calibri" w:eastAsia="Calibri" w:hAnsi="Calibri" w:cs="Calibri"/>
          <w:sz w:val="22"/>
          <w:szCs w:val="22"/>
        </w:rPr>
        <w:t>, Fair, or Poor, based on credit score</w:t>
      </w:r>
    </w:p>
    <w:p w14:paraId="09DAA0BF" w14:textId="77777777" w:rsidR="00154EE0" w:rsidRDefault="00000000">
      <w:pPr>
        <w:pStyle w:val="ListParagraph"/>
        <w:numPr>
          <w:ilvl w:val="0"/>
          <w:numId w:val="1"/>
        </w:numPr>
        <w:spacing w:after="100" w:line="276" w:lineRule="auto"/>
        <w:ind w:left="360"/>
      </w:pPr>
      <w:r>
        <w:rPr>
          <w:rFonts w:ascii="Calibri" w:eastAsia="Calibri" w:hAnsi="Calibri" w:cs="Calibri"/>
          <w:sz w:val="22"/>
          <w:szCs w:val="22"/>
        </w:rPr>
        <w:t>Investment Count: total number of investment products held across 8 categories</w:t>
      </w:r>
    </w:p>
    <w:p w14:paraId="23556DEB" w14:textId="77777777" w:rsidR="00154EE0" w:rsidRDefault="00000000">
      <w:pPr>
        <w:pStyle w:val="ListParagraph"/>
        <w:numPr>
          <w:ilvl w:val="0"/>
          <w:numId w:val="1"/>
        </w:numPr>
        <w:spacing w:after="100" w:line="276" w:lineRule="auto"/>
        <w:ind w:left="360"/>
      </w:pPr>
      <w:r>
        <w:rPr>
          <w:rFonts w:ascii="Calibri" w:eastAsia="Calibri" w:hAnsi="Calibri" w:cs="Calibri"/>
          <w:sz w:val="22"/>
          <w:szCs w:val="22"/>
        </w:rPr>
        <w:t>Salary-to-Debt Ratio: estimated salary divided by outstanding debt</w:t>
      </w:r>
    </w:p>
    <w:p w14:paraId="1F66A27F" w14:textId="77777777" w:rsidR="00154EE0" w:rsidRDefault="00000000">
      <w:pPr>
        <w:pStyle w:val="Heading2"/>
        <w:spacing w:before="240" w:after="120"/>
      </w:pPr>
      <w:r>
        <w:rPr>
          <w:rFonts w:ascii="Calibri" w:eastAsia="Calibri" w:hAnsi="Calibri" w:cs="Calibri"/>
          <w:b/>
          <w:bCs/>
          <w:color w:val="22303F"/>
          <w:sz w:val="24"/>
          <w:szCs w:val="24"/>
        </w:rPr>
        <w:lastRenderedPageBreak/>
        <w:t>Gold Layer</w:t>
      </w:r>
    </w:p>
    <w:p w14:paraId="3F74989C" w14:textId="77777777" w:rsidR="00154EE0" w:rsidRDefault="00000000">
      <w:pPr>
        <w:spacing w:after="180" w:line="276" w:lineRule="auto"/>
      </w:pPr>
      <w:r>
        <w:rPr>
          <w:rFonts w:ascii="Calibri" w:eastAsia="Calibri" w:hAnsi="Calibri" w:cs="Calibri"/>
          <w:sz w:val="22"/>
          <w:szCs w:val="22"/>
        </w:rPr>
        <w:t xml:space="preserve">Three summary tables are built from the </w:t>
      </w:r>
      <w:proofErr w:type="gramStart"/>
      <w:r>
        <w:rPr>
          <w:rFonts w:ascii="Calibri" w:eastAsia="Calibri" w:hAnsi="Calibri" w:cs="Calibri"/>
          <w:sz w:val="22"/>
          <w:szCs w:val="22"/>
        </w:rPr>
        <w:t>Silver</w:t>
      </w:r>
      <w:proofErr w:type="gramEnd"/>
      <w:r>
        <w:rPr>
          <w:rFonts w:ascii="Calibri" w:eastAsia="Calibri" w:hAnsi="Calibri" w:cs="Calibri"/>
          <w:sz w:val="22"/>
          <w:szCs w:val="22"/>
        </w:rPr>
        <w:t xml:space="preserve"> layer for reporting consumption, aggregating by Wealth Tier, by Age Group, and by Country and Wealth Tier together. Each table reports customer counts, average net assets, average portfolio return, and total churned customers.</w:t>
      </w:r>
    </w:p>
    <w:p w14:paraId="770F7488" w14:textId="77777777" w:rsidR="00154EE0" w:rsidRDefault="00000000">
      <w:pPr>
        <w:pStyle w:val="Heading1"/>
        <w:spacing w:before="300" w:after="150"/>
      </w:pPr>
      <w:r>
        <w:rPr>
          <w:rFonts w:ascii="Calibri" w:eastAsia="Calibri" w:hAnsi="Calibri" w:cs="Calibri"/>
          <w:b/>
          <w:bCs/>
          <w:color w:val="3F6A95"/>
          <w:sz w:val="30"/>
          <w:szCs w:val="30"/>
        </w:rPr>
        <w:t>Key Findings</w:t>
      </w:r>
    </w:p>
    <w:p w14:paraId="26F679C6" w14:textId="77777777" w:rsidR="00154EE0" w:rsidRDefault="00000000">
      <w:pPr>
        <w:pStyle w:val="Heading2"/>
        <w:spacing w:before="240" w:after="120"/>
      </w:pPr>
      <w:r>
        <w:rPr>
          <w:rFonts w:ascii="Calibri" w:eastAsia="Calibri" w:hAnsi="Calibri" w:cs="Calibri"/>
          <w:b/>
          <w:bCs/>
          <w:color w:val="22303F"/>
          <w:sz w:val="24"/>
          <w:szCs w:val="24"/>
        </w:rPr>
        <w:t>Wealth Tier Summary</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000"/>
        <w:gridCol w:w="2400"/>
        <w:gridCol w:w="1800"/>
        <w:gridCol w:w="1800"/>
      </w:tblGrid>
      <w:tr w:rsidR="00154EE0" w14:paraId="52187EFB" w14:textId="77777777">
        <w:tblPrEx>
          <w:tblCellMar>
            <w:top w:w="0" w:type="dxa"/>
            <w:bottom w:w="0" w:type="dxa"/>
          </w:tblCellMar>
        </w:tblPrEx>
        <w:tc>
          <w:tcPr>
            <w:tcW w:w="2360" w:type="dxa"/>
            <w:shd w:val="clear" w:color="auto" w:fill="EAF0F7"/>
            <w:tcMar>
              <w:top w:w="80" w:type="dxa"/>
              <w:left w:w="100" w:type="dxa"/>
              <w:bottom w:w="80" w:type="dxa"/>
              <w:right w:w="100" w:type="dxa"/>
            </w:tcMar>
          </w:tcPr>
          <w:p w14:paraId="58AA57DA" w14:textId="77777777" w:rsidR="00154EE0" w:rsidRDefault="00000000">
            <w:r>
              <w:rPr>
                <w:rFonts w:ascii="Calibri" w:eastAsia="Calibri" w:hAnsi="Calibri" w:cs="Calibri"/>
                <w:b/>
                <w:bCs/>
                <w:color w:val="3F6A95"/>
              </w:rPr>
              <w:t>Wealth Tier</w:t>
            </w:r>
          </w:p>
        </w:tc>
        <w:tc>
          <w:tcPr>
            <w:tcW w:w="2000" w:type="dxa"/>
            <w:shd w:val="clear" w:color="auto" w:fill="EAF0F7"/>
            <w:tcMar>
              <w:top w:w="80" w:type="dxa"/>
              <w:left w:w="100" w:type="dxa"/>
              <w:bottom w:w="80" w:type="dxa"/>
              <w:right w:w="100" w:type="dxa"/>
            </w:tcMar>
          </w:tcPr>
          <w:p w14:paraId="19F92582" w14:textId="77777777" w:rsidR="00154EE0" w:rsidRDefault="00000000">
            <w:r>
              <w:rPr>
                <w:rFonts w:ascii="Calibri" w:eastAsia="Calibri" w:hAnsi="Calibri" w:cs="Calibri"/>
                <w:b/>
                <w:bCs/>
                <w:color w:val="3F6A95"/>
              </w:rPr>
              <w:t>Customers</w:t>
            </w:r>
          </w:p>
        </w:tc>
        <w:tc>
          <w:tcPr>
            <w:tcW w:w="2400" w:type="dxa"/>
            <w:shd w:val="clear" w:color="auto" w:fill="EAF0F7"/>
            <w:tcMar>
              <w:top w:w="80" w:type="dxa"/>
              <w:left w:w="100" w:type="dxa"/>
              <w:bottom w:w="80" w:type="dxa"/>
              <w:right w:w="100" w:type="dxa"/>
            </w:tcMar>
          </w:tcPr>
          <w:p w14:paraId="0620A181" w14:textId="77777777" w:rsidR="00154EE0" w:rsidRDefault="00000000">
            <w:r>
              <w:rPr>
                <w:rFonts w:ascii="Calibri" w:eastAsia="Calibri" w:hAnsi="Calibri" w:cs="Calibri"/>
                <w:b/>
                <w:bCs/>
                <w:color w:val="3F6A95"/>
              </w:rPr>
              <w:t>Avg. Net Assets</w:t>
            </w:r>
          </w:p>
        </w:tc>
        <w:tc>
          <w:tcPr>
            <w:tcW w:w="1800" w:type="dxa"/>
            <w:shd w:val="clear" w:color="auto" w:fill="EAF0F7"/>
            <w:tcMar>
              <w:top w:w="80" w:type="dxa"/>
              <w:left w:w="100" w:type="dxa"/>
              <w:bottom w:w="80" w:type="dxa"/>
              <w:right w:w="100" w:type="dxa"/>
            </w:tcMar>
          </w:tcPr>
          <w:p w14:paraId="2CE08AF6" w14:textId="77777777" w:rsidR="00154EE0" w:rsidRDefault="00000000">
            <w:r>
              <w:rPr>
                <w:rFonts w:ascii="Calibri" w:eastAsia="Calibri" w:hAnsi="Calibri" w:cs="Calibri"/>
                <w:b/>
                <w:bCs/>
                <w:color w:val="3F6A95"/>
              </w:rPr>
              <w:t>Avg. Return</w:t>
            </w:r>
          </w:p>
        </w:tc>
        <w:tc>
          <w:tcPr>
            <w:tcW w:w="1800" w:type="dxa"/>
            <w:shd w:val="clear" w:color="auto" w:fill="EAF0F7"/>
            <w:tcMar>
              <w:top w:w="80" w:type="dxa"/>
              <w:left w:w="100" w:type="dxa"/>
              <w:bottom w:w="80" w:type="dxa"/>
              <w:right w:w="100" w:type="dxa"/>
            </w:tcMar>
          </w:tcPr>
          <w:p w14:paraId="3D3FC294" w14:textId="77777777" w:rsidR="00154EE0" w:rsidRDefault="00000000">
            <w:r>
              <w:rPr>
                <w:rFonts w:ascii="Calibri" w:eastAsia="Calibri" w:hAnsi="Calibri" w:cs="Calibri"/>
                <w:b/>
                <w:bCs/>
                <w:color w:val="3F6A95"/>
              </w:rPr>
              <w:t>Churn Rate</w:t>
            </w:r>
          </w:p>
        </w:tc>
      </w:tr>
      <w:tr w:rsidR="00154EE0" w14:paraId="1F365AFB" w14:textId="77777777">
        <w:tblPrEx>
          <w:tblCellMar>
            <w:top w:w="0" w:type="dxa"/>
            <w:bottom w:w="0" w:type="dxa"/>
          </w:tblCellMar>
        </w:tblPrEx>
        <w:tc>
          <w:tcPr>
            <w:tcW w:w="2360" w:type="dxa"/>
            <w:tcMar>
              <w:top w:w="80" w:type="dxa"/>
              <w:left w:w="100" w:type="dxa"/>
              <w:bottom w:w="80" w:type="dxa"/>
              <w:right w:w="100" w:type="dxa"/>
            </w:tcMar>
          </w:tcPr>
          <w:p w14:paraId="10CC4D83" w14:textId="77777777" w:rsidR="00154EE0" w:rsidRDefault="00000000">
            <w:r>
              <w:rPr>
                <w:rFonts w:ascii="Calibri" w:eastAsia="Calibri" w:hAnsi="Calibri" w:cs="Calibri"/>
                <w:color w:val="22303F"/>
              </w:rPr>
              <w:t>Affluent</w:t>
            </w:r>
          </w:p>
        </w:tc>
        <w:tc>
          <w:tcPr>
            <w:tcW w:w="2000" w:type="dxa"/>
            <w:tcMar>
              <w:top w:w="80" w:type="dxa"/>
              <w:left w:w="100" w:type="dxa"/>
              <w:bottom w:w="80" w:type="dxa"/>
              <w:right w:w="100" w:type="dxa"/>
            </w:tcMar>
          </w:tcPr>
          <w:p w14:paraId="08C64467" w14:textId="77777777" w:rsidR="00154EE0" w:rsidRDefault="00000000">
            <w:r>
              <w:rPr>
                <w:rFonts w:ascii="Calibri" w:eastAsia="Calibri" w:hAnsi="Calibri" w:cs="Calibri"/>
                <w:color w:val="22303F"/>
              </w:rPr>
              <w:t>6,251</w:t>
            </w:r>
          </w:p>
        </w:tc>
        <w:tc>
          <w:tcPr>
            <w:tcW w:w="2400" w:type="dxa"/>
            <w:tcMar>
              <w:top w:w="80" w:type="dxa"/>
              <w:left w:w="100" w:type="dxa"/>
              <w:bottom w:w="80" w:type="dxa"/>
              <w:right w:w="100" w:type="dxa"/>
            </w:tcMar>
          </w:tcPr>
          <w:p w14:paraId="393AE488" w14:textId="77777777" w:rsidR="00154EE0" w:rsidRDefault="00000000">
            <w:r>
              <w:rPr>
                <w:rFonts w:ascii="Calibri" w:eastAsia="Calibri" w:hAnsi="Calibri" w:cs="Calibri"/>
                <w:color w:val="22303F"/>
              </w:rPr>
              <w:t>$74,890</w:t>
            </w:r>
          </w:p>
        </w:tc>
        <w:tc>
          <w:tcPr>
            <w:tcW w:w="1800" w:type="dxa"/>
            <w:tcMar>
              <w:top w:w="80" w:type="dxa"/>
              <w:left w:w="100" w:type="dxa"/>
              <w:bottom w:w="80" w:type="dxa"/>
              <w:right w:w="100" w:type="dxa"/>
            </w:tcMar>
          </w:tcPr>
          <w:p w14:paraId="235E0954" w14:textId="77777777" w:rsidR="00154EE0" w:rsidRDefault="00000000">
            <w:r>
              <w:rPr>
                <w:rFonts w:ascii="Calibri" w:eastAsia="Calibri" w:hAnsi="Calibri" w:cs="Calibri"/>
                <w:color w:val="22303F"/>
              </w:rPr>
              <w:t>13.0%</w:t>
            </w:r>
          </w:p>
        </w:tc>
        <w:tc>
          <w:tcPr>
            <w:tcW w:w="1800" w:type="dxa"/>
            <w:tcMar>
              <w:top w:w="80" w:type="dxa"/>
              <w:left w:w="100" w:type="dxa"/>
              <w:bottom w:w="80" w:type="dxa"/>
              <w:right w:w="100" w:type="dxa"/>
            </w:tcMar>
          </w:tcPr>
          <w:p w14:paraId="69989FC6" w14:textId="77777777" w:rsidR="00154EE0" w:rsidRDefault="00000000">
            <w:r>
              <w:rPr>
                <w:rFonts w:ascii="Calibri" w:eastAsia="Calibri" w:hAnsi="Calibri" w:cs="Calibri"/>
                <w:color w:val="22303F"/>
              </w:rPr>
              <w:t>49.7%</w:t>
            </w:r>
          </w:p>
        </w:tc>
      </w:tr>
      <w:tr w:rsidR="00154EE0" w14:paraId="30BC9574" w14:textId="77777777">
        <w:tblPrEx>
          <w:tblCellMar>
            <w:top w:w="0" w:type="dxa"/>
            <w:bottom w:w="0" w:type="dxa"/>
          </w:tblCellMar>
        </w:tblPrEx>
        <w:tc>
          <w:tcPr>
            <w:tcW w:w="2360" w:type="dxa"/>
            <w:tcMar>
              <w:top w:w="80" w:type="dxa"/>
              <w:left w:w="100" w:type="dxa"/>
              <w:bottom w:w="80" w:type="dxa"/>
              <w:right w:w="100" w:type="dxa"/>
            </w:tcMar>
          </w:tcPr>
          <w:p w14:paraId="034CFFD1" w14:textId="77777777" w:rsidR="00154EE0" w:rsidRDefault="00000000">
            <w:r>
              <w:rPr>
                <w:rFonts w:ascii="Calibri" w:eastAsia="Calibri" w:hAnsi="Calibri" w:cs="Calibri"/>
                <w:color w:val="22303F"/>
              </w:rPr>
              <w:t>Mass Market</w:t>
            </w:r>
          </w:p>
        </w:tc>
        <w:tc>
          <w:tcPr>
            <w:tcW w:w="2000" w:type="dxa"/>
            <w:tcMar>
              <w:top w:w="80" w:type="dxa"/>
              <w:left w:w="100" w:type="dxa"/>
              <w:bottom w:w="80" w:type="dxa"/>
              <w:right w:w="100" w:type="dxa"/>
            </w:tcMar>
          </w:tcPr>
          <w:p w14:paraId="3BFEA3FB" w14:textId="77777777" w:rsidR="00154EE0" w:rsidRDefault="00000000">
            <w:r>
              <w:rPr>
                <w:rFonts w:ascii="Calibri" w:eastAsia="Calibri" w:hAnsi="Calibri" w:cs="Calibri"/>
                <w:color w:val="22303F"/>
              </w:rPr>
              <w:t>3,749</w:t>
            </w:r>
          </w:p>
        </w:tc>
        <w:tc>
          <w:tcPr>
            <w:tcW w:w="2400" w:type="dxa"/>
            <w:tcMar>
              <w:top w:w="80" w:type="dxa"/>
              <w:left w:w="100" w:type="dxa"/>
              <w:bottom w:w="80" w:type="dxa"/>
              <w:right w:w="100" w:type="dxa"/>
            </w:tcMar>
          </w:tcPr>
          <w:p w14:paraId="32E5B0B9" w14:textId="77777777" w:rsidR="00154EE0" w:rsidRDefault="00000000">
            <w:r>
              <w:rPr>
                <w:rFonts w:ascii="Calibri" w:eastAsia="Calibri" w:hAnsi="Calibri" w:cs="Calibri"/>
                <w:color w:val="22303F"/>
              </w:rPr>
              <w:t>$34,792</w:t>
            </w:r>
          </w:p>
        </w:tc>
        <w:tc>
          <w:tcPr>
            <w:tcW w:w="1800" w:type="dxa"/>
            <w:tcMar>
              <w:top w:w="80" w:type="dxa"/>
              <w:left w:w="100" w:type="dxa"/>
              <w:bottom w:w="80" w:type="dxa"/>
              <w:right w:w="100" w:type="dxa"/>
            </w:tcMar>
          </w:tcPr>
          <w:p w14:paraId="30B98033" w14:textId="77777777" w:rsidR="00154EE0" w:rsidRDefault="00000000">
            <w:r>
              <w:rPr>
                <w:rFonts w:ascii="Calibri" w:eastAsia="Calibri" w:hAnsi="Calibri" w:cs="Calibri"/>
                <w:color w:val="22303F"/>
              </w:rPr>
              <w:t>12.9%</w:t>
            </w:r>
          </w:p>
        </w:tc>
        <w:tc>
          <w:tcPr>
            <w:tcW w:w="1800" w:type="dxa"/>
            <w:tcMar>
              <w:top w:w="80" w:type="dxa"/>
              <w:left w:w="100" w:type="dxa"/>
              <w:bottom w:w="80" w:type="dxa"/>
              <w:right w:w="100" w:type="dxa"/>
            </w:tcMar>
          </w:tcPr>
          <w:p w14:paraId="5777F9F2" w14:textId="77777777" w:rsidR="00154EE0" w:rsidRDefault="00000000">
            <w:r>
              <w:rPr>
                <w:rFonts w:ascii="Calibri" w:eastAsia="Calibri" w:hAnsi="Calibri" w:cs="Calibri"/>
                <w:color w:val="22303F"/>
              </w:rPr>
              <w:t>49.8%</w:t>
            </w:r>
          </w:p>
        </w:tc>
      </w:tr>
    </w:tbl>
    <w:p w14:paraId="4DBE4321" w14:textId="77777777" w:rsidR="00154EE0" w:rsidRDefault="00154EE0">
      <w:pPr>
        <w:spacing w:after="180" w:line="276" w:lineRule="auto"/>
      </w:pPr>
    </w:p>
    <w:p w14:paraId="1722277A" w14:textId="77777777" w:rsidR="00154EE0" w:rsidRDefault="00000000">
      <w:pPr>
        <w:pStyle w:val="Heading2"/>
        <w:spacing w:before="240" w:after="120"/>
      </w:pPr>
      <w:r>
        <w:rPr>
          <w:rFonts w:ascii="Calibri" w:eastAsia="Calibri" w:hAnsi="Calibri" w:cs="Calibri"/>
          <w:b/>
          <w:bCs/>
          <w:color w:val="22303F"/>
          <w:sz w:val="24"/>
          <w:szCs w:val="24"/>
        </w:rPr>
        <w:t>Age Group Summary</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000"/>
        <w:gridCol w:w="2400"/>
        <w:gridCol w:w="1800"/>
        <w:gridCol w:w="1800"/>
      </w:tblGrid>
      <w:tr w:rsidR="00154EE0" w14:paraId="019F3887" w14:textId="77777777">
        <w:tblPrEx>
          <w:tblCellMar>
            <w:top w:w="0" w:type="dxa"/>
            <w:bottom w:w="0" w:type="dxa"/>
          </w:tblCellMar>
        </w:tblPrEx>
        <w:tc>
          <w:tcPr>
            <w:tcW w:w="2360" w:type="dxa"/>
            <w:shd w:val="clear" w:color="auto" w:fill="EAF0F7"/>
            <w:tcMar>
              <w:top w:w="80" w:type="dxa"/>
              <w:left w:w="100" w:type="dxa"/>
              <w:bottom w:w="80" w:type="dxa"/>
              <w:right w:w="100" w:type="dxa"/>
            </w:tcMar>
          </w:tcPr>
          <w:p w14:paraId="145128AC" w14:textId="77777777" w:rsidR="00154EE0" w:rsidRDefault="00000000">
            <w:r>
              <w:rPr>
                <w:rFonts w:ascii="Calibri" w:eastAsia="Calibri" w:hAnsi="Calibri" w:cs="Calibri"/>
                <w:b/>
                <w:bCs/>
                <w:color w:val="3F6A95"/>
              </w:rPr>
              <w:t>Age Group</w:t>
            </w:r>
          </w:p>
        </w:tc>
        <w:tc>
          <w:tcPr>
            <w:tcW w:w="2000" w:type="dxa"/>
            <w:shd w:val="clear" w:color="auto" w:fill="EAF0F7"/>
            <w:tcMar>
              <w:top w:w="80" w:type="dxa"/>
              <w:left w:w="100" w:type="dxa"/>
              <w:bottom w:w="80" w:type="dxa"/>
              <w:right w:w="100" w:type="dxa"/>
            </w:tcMar>
          </w:tcPr>
          <w:p w14:paraId="08920E8D" w14:textId="77777777" w:rsidR="00154EE0" w:rsidRDefault="00000000">
            <w:r>
              <w:rPr>
                <w:rFonts w:ascii="Calibri" w:eastAsia="Calibri" w:hAnsi="Calibri" w:cs="Calibri"/>
                <w:b/>
                <w:bCs/>
                <w:color w:val="3F6A95"/>
              </w:rPr>
              <w:t>Customers</w:t>
            </w:r>
          </w:p>
        </w:tc>
        <w:tc>
          <w:tcPr>
            <w:tcW w:w="2400" w:type="dxa"/>
            <w:shd w:val="clear" w:color="auto" w:fill="EAF0F7"/>
            <w:tcMar>
              <w:top w:w="80" w:type="dxa"/>
              <w:left w:w="100" w:type="dxa"/>
              <w:bottom w:w="80" w:type="dxa"/>
              <w:right w:w="100" w:type="dxa"/>
            </w:tcMar>
          </w:tcPr>
          <w:p w14:paraId="6644F64F" w14:textId="77777777" w:rsidR="00154EE0" w:rsidRDefault="00000000">
            <w:r>
              <w:rPr>
                <w:rFonts w:ascii="Calibri" w:eastAsia="Calibri" w:hAnsi="Calibri" w:cs="Calibri"/>
                <w:b/>
                <w:bCs/>
                <w:color w:val="3F6A95"/>
              </w:rPr>
              <w:t>Avg. Net Assets</w:t>
            </w:r>
          </w:p>
        </w:tc>
        <w:tc>
          <w:tcPr>
            <w:tcW w:w="1800" w:type="dxa"/>
            <w:shd w:val="clear" w:color="auto" w:fill="EAF0F7"/>
            <w:tcMar>
              <w:top w:w="80" w:type="dxa"/>
              <w:left w:w="100" w:type="dxa"/>
              <w:bottom w:w="80" w:type="dxa"/>
              <w:right w:w="100" w:type="dxa"/>
            </w:tcMar>
          </w:tcPr>
          <w:p w14:paraId="7EAA32A6" w14:textId="77777777" w:rsidR="00154EE0" w:rsidRDefault="00000000">
            <w:r>
              <w:rPr>
                <w:rFonts w:ascii="Calibri" w:eastAsia="Calibri" w:hAnsi="Calibri" w:cs="Calibri"/>
                <w:b/>
                <w:bCs/>
                <w:color w:val="3F6A95"/>
              </w:rPr>
              <w:t>Avg. Return</w:t>
            </w:r>
          </w:p>
        </w:tc>
        <w:tc>
          <w:tcPr>
            <w:tcW w:w="1800" w:type="dxa"/>
            <w:shd w:val="clear" w:color="auto" w:fill="EAF0F7"/>
            <w:tcMar>
              <w:top w:w="80" w:type="dxa"/>
              <w:left w:w="100" w:type="dxa"/>
              <w:bottom w:w="80" w:type="dxa"/>
              <w:right w:w="100" w:type="dxa"/>
            </w:tcMar>
          </w:tcPr>
          <w:p w14:paraId="62661778" w14:textId="77777777" w:rsidR="00154EE0" w:rsidRDefault="00000000">
            <w:r>
              <w:rPr>
                <w:rFonts w:ascii="Calibri" w:eastAsia="Calibri" w:hAnsi="Calibri" w:cs="Calibri"/>
                <w:b/>
                <w:bCs/>
                <w:color w:val="3F6A95"/>
              </w:rPr>
              <w:t>Churn Rate</w:t>
            </w:r>
          </w:p>
        </w:tc>
      </w:tr>
      <w:tr w:rsidR="00154EE0" w14:paraId="1D075CAF" w14:textId="77777777">
        <w:tblPrEx>
          <w:tblCellMar>
            <w:top w:w="0" w:type="dxa"/>
            <w:bottom w:w="0" w:type="dxa"/>
          </w:tblCellMar>
        </w:tblPrEx>
        <w:tc>
          <w:tcPr>
            <w:tcW w:w="2360" w:type="dxa"/>
            <w:tcMar>
              <w:top w:w="80" w:type="dxa"/>
              <w:left w:w="100" w:type="dxa"/>
              <w:bottom w:w="80" w:type="dxa"/>
              <w:right w:w="100" w:type="dxa"/>
            </w:tcMar>
          </w:tcPr>
          <w:p w14:paraId="54485607" w14:textId="77777777" w:rsidR="00154EE0" w:rsidRDefault="00000000">
            <w:r>
              <w:rPr>
                <w:rFonts w:ascii="Calibri" w:eastAsia="Calibri" w:hAnsi="Calibri" w:cs="Calibri"/>
                <w:color w:val="22303F"/>
              </w:rPr>
              <w:t>Under 30</w:t>
            </w:r>
          </w:p>
        </w:tc>
        <w:tc>
          <w:tcPr>
            <w:tcW w:w="2000" w:type="dxa"/>
            <w:tcMar>
              <w:top w:w="80" w:type="dxa"/>
              <w:left w:w="100" w:type="dxa"/>
              <w:bottom w:w="80" w:type="dxa"/>
              <w:right w:w="100" w:type="dxa"/>
            </w:tcMar>
          </w:tcPr>
          <w:p w14:paraId="76193337" w14:textId="77777777" w:rsidR="00154EE0" w:rsidRDefault="00000000">
            <w:r>
              <w:rPr>
                <w:rFonts w:ascii="Calibri" w:eastAsia="Calibri" w:hAnsi="Calibri" w:cs="Calibri"/>
                <w:color w:val="22303F"/>
              </w:rPr>
              <w:t>1,641</w:t>
            </w:r>
          </w:p>
        </w:tc>
        <w:tc>
          <w:tcPr>
            <w:tcW w:w="2400" w:type="dxa"/>
            <w:tcMar>
              <w:top w:w="80" w:type="dxa"/>
              <w:left w:w="100" w:type="dxa"/>
              <w:bottom w:w="80" w:type="dxa"/>
              <w:right w:w="100" w:type="dxa"/>
            </w:tcMar>
          </w:tcPr>
          <w:p w14:paraId="3FCEC722" w14:textId="77777777" w:rsidR="00154EE0" w:rsidRDefault="00000000">
            <w:r>
              <w:rPr>
                <w:rFonts w:ascii="Calibri" w:eastAsia="Calibri" w:hAnsi="Calibri" w:cs="Calibri"/>
                <w:color w:val="22303F"/>
              </w:rPr>
              <w:t>$60,572</w:t>
            </w:r>
          </w:p>
        </w:tc>
        <w:tc>
          <w:tcPr>
            <w:tcW w:w="1800" w:type="dxa"/>
            <w:tcMar>
              <w:top w:w="80" w:type="dxa"/>
              <w:left w:w="100" w:type="dxa"/>
              <w:bottom w:w="80" w:type="dxa"/>
              <w:right w:w="100" w:type="dxa"/>
            </w:tcMar>
          </w:tcPr>
          <w:p w14:paraId="7ABA2A75" w14:textId="77777777" w:rsidR="00154EE0" w:rsidRDefault="00000000">
            <w:r>
              <w:rPr>
                <w:rFonts w:ascii="Calibri" w:eastAsia="Calibri" w:hAnsi="Calibri" w:cs="Calibri"/>
                <w:color w:val="22303F"/>
              </w:rPr>
              <w:t>13.0%</w:t>
            </w:r>
          </w:p>
        </w:tc>
        <w:tc>
          <w:tcPr>
            <w:tcW w:w="1800" w:type="dxa"/>
            <w:tcMar>
              <w:top w:w="80" w:type="dxa"/>
              <w:left w:w="100" w:type="dxa"/>
              <w:bottom w:w="80" w:type="dxa"/>
              <w:right w:w="100" w:type="dxa"/>
            </w:tcMar>
          </w:tcPr>
          <w:p w14:paraId="52FBB2CE" w14:textId="77777777" w:rsidR="00154EE0" w:rsidRDefault="00000000">
            <w:r>
              <w:rPr>
                <w:rFonts w:ascii="Calibri" w:eastAsia="Calibri" w:hAnsi="Calibri" w:cs="Calibri"/>
                <w:color w:val="22303F"/>
              </w:rPr>
              <w:t>48.3%</w:t>
            </w:r>
          </w:p>
        </w:tc>
      </w:tr>
      <w:tr w:rsidR="00154EE0" w14:paraId="2B1D2EC9" w14:textId="77777777">
        <w:tblPrEx>
          <w:tblCellMar>
            <w:top w:w="0" w:type="dxa"/>
            <w:bottom w:w="0" w:type="dxa"/>
          </w:tblCellMar>
        </w:tblPrEx>
        <w:tc>
          <w:tcPr>
            <w:tcW w:w="2360" w:type="dxa"/>
            <w:tcMar>
              <w:top w:w="80" w:type="dxa"/>
              <w:left w:w="100" w:type="dxa"/>
              <w:bottom w:w="80" w:type="dxa"/>
              <w:right w:w="100" w:type="dxa"/>
            </w:tcMar>
          </w:tcPr>
          <w:p w14:paraId="3E7B62DE" w14:textId="77777777" w:rsidR="00154EE0" w:rsidRDefault="00000000">
            <w:r>
              <w:rPr>
                <w:rFonts w:ascii="Calibri" w:eastAsia="Calibri" w:hAnsi="Calibri" w:cs="Calibri"/>
                <w:color w:val="22303F"/>
              </w:rPr>
              <w:t>30s</w:t>
            </w:r>
          </w:p>
        </w:tc>
        <w:tc>
          <w:tcPr>
            <w:tcW w:w="2000" w:type="dxa"/>
            <w:tcMar>
              <w:top w:w="80" w:type="dxa"/>
              <w:left w:w="100" w:type="dxa"/>
              <w:bottom w:w="80" w:type="dxa"/>
              <w:right w:w="100" w:type="dxa"/>
            </w:tcMar>
          </w:tcPr>
          <w:p w14:paraId="1E8CA875" w14:textId="77777777" w:rsidR="00154EE0" w:rsidRDefault="00000000">
            <w:r>
              <w:rPr>
                <w:rFonts w:ascii="Calibri" w:eastAsia="Calibri" w:hAnsi="Calibri" w:cs="Calibri"/>
                <w:color w:val="22303F"/>
              </w:rPr>
              <w:t>4,346</w:t>
            </w:r>
          </w:p>
        </w:tc>
        <w:tc>
          <w:tcPr>
            <w:tcW w:w="2400" w:type="dxa"/>
            <w:tcMar>
              <w:top w:w="80" w:type="dxa"/>
              <w:left w:w="100" w:type="dxa"/>
              <w:bottom w:w="80" w:type="dxa"/>
              <w:right w:w="100" w:type="dxa"/>
            </w:tcMar>
          </w:tcPr>
          <w:p w14:paraId="152740C3" w14:textId="77777777" w:rsidR="00154EE0" w:rsidRDefault="00000000">
            <w:r>
              <w:rPr>
                <w:rFonts w:ascii="Calibri" w:eastAsia="Calibri" w:hAnsi="Calibri" w:cs="Calibri"/>
                <w:color w:val="22303F"/>
              </w:rPr>
              <w:t>$60,009</w:t>
            </w:r>
          </w:p>
        </w:tc>
        <w:tc>
          <w:tcPr>
            <w:tcW w:w="1800" w:type="dxa"/>
            <w:tcMar>
              <w:top w:w="80" w:type="dxa"/>
              <w:left w:w="100" w:type="dxa"/>
              <w:bottom w:w="80" w:type="dxa"/>
              <w:right w:w="100" w:type="dxa"/>
            </w:tcMar>
          </w:tcPr>
          <w:p w14:paraId="1DEC2B6B" w14:textId="77777777" w:rsidR="00154EE0" w:rsidRDefault="00000000">
            <w:r>
              <w:rPr>
                <w:rFonts w:ascii="Calibri" w:eastAsia="Calibri" w:hAnsi="Calibri" w:cs="Calibri"/>
                <w:color w:val="22303F"/>
              </w:rPr>
              <w:t>13.0%</w:t>
            </w:r>
          </w:p>
        </w:tc>
        <w:tc>
          <w:tcPr>
            <w:tcW w:w="1800" w:type="dxa"/>
            <w:tcMar>
              <w:top w:w="80" w:type="dxa"/>
              <w:left w:w="100" w:type="dxa"/>
              <w:bottom w:w="80" w:type="dxa"/>
              <w:right w:w="100" w:type="dxa"/>
            </w:tcMar>
          </w:tcPr>
          <w:p w14:paraId="084A72A7" w14:textId="77777777" w:rsidR="00154EE0" w:rsidRDefault="00000000">
            <w:r>
              <w:rPr>
                <w:rFonts w:ascii="Calibri" w:eastAsia="Calibri" w:hAnsi="Calibri" w:cs="Calibri"/>
                <w:color w:val="22303F"/>
              </w:rPr>
              <w:t>49.2%</w:t>
            </w:r>
          </w:p>
        </w:tc>
      </w:tr>
      <w:tr w:rsidR="00154EE0" w14:paraId="17C535CB" w14:textId="77777777">
        <w:tblPrEx>
          <w:tblCellMar>
            <w:top w:w="0" w:type="dxa"/>
            <w:bottom w:w="0" w:type="dxa"/>
          </w:tblCellMar>
        </w:tblPrEx>
        <w:tc>
          <w:tcPr>
            <w:tcW w:w="2360" w:type="dxa"/>
            <w:tcMar>
              <w:top w:w="80" w:type="dxa"/>
              <w:left w:w="100" w:type="dxa"/>
              <w:bottom w:w="80" w:type="dxa"/>
              <w:right w:w="100" w:type="dxa"/>
            </w:tcMar>
          </w:tcPr>
          <w:p w14:paraId="19989EC0" w14:textId="77777777" w:rsidR="00154EE0" w:rsidRDefault="00000000">
            <w:r>
              <w:rPr>
                <w:rFonts w:ascii="Calibri" w:eastAsia="Calibri" w:hAnsi="Calibri" w:cs="Calibri"/>
                <w:color w:val="22303F"/>
              </w:rPr>
              <w:t>40s</w:t>
            </w:r>
          </w:p>
        </w:tc>
        <w:tc>
          <w:tcPr>
            <w:tcW w:w="2000" w:type="dxa"/>
            <w:tcMar>
              <w:top w:w="80" w:type="dxa"/>
              <w:left w:w="100" w:type="dxa"/>
              <w:bottom w:w="80" w:type="dxa"/>
              <w:right w:w="100" w:type="dxa"/>
            </w:tcMar>
          </w:tcPr>
          <w:p w14:paraId="0F0EFB67" w14:textId="77777777" w:rsidR="00154EE0" w:rsidRDefault="00000000">
            <w:r>
              <w:rPr>
                <w:rFonts w:ascii="Calibri" w:eastAsia="Calibri" w:hAnsi="Calibri" w:cs="Calibri"/>
                <w:color w:val="22303F"/>
              </w:rPr>
              <w:t>2,618</w:t>
            </w:r>
          </w:p>
        </w:tc>
        <w:tc>
          <w:tcPr>
            <w:tcW w:w="2400" w:type="dxa"/>
            <w:tcMar>
              <w:top w:w="80" w:type="dxa"/>
              <w:left w:w="100" w:type="dxa"/>
              <w:bottom w:w="80" w:type="dxa"/>
              <w:right w:w="100" w:type="dxa"/>
            </w:tcMar>
          </w:tcPr>
          <w:p w14:paraId="4CCF551D" w14:textId="77777777" w:rsidR="00154EE0" w:rsidRDefault="00000000">
            <w:r>
              <w:rPr>
                <w:rFonts w:ascii="Calibri" w:eastAsia="Calibri" w:hAnsi="Calibri" w:cs="Calibri"/>
                <w:color w:val="22303F"/>
              </w:rPr>
              <w:t>$59,804</w:t>
            </w:r>
          </w:p>
        </w:tc>
        <w:tc>
          <w:tcPr>
            <w:tcW w:w="1800" w:type="dxa"/>
            <w:tcMar>
              <w:top w:w="80" w:type="dxa"/>
              <w:left w:w="100" w:type="dxa"/>
              <w:bottom w:w="80" w:type="dxa"/>
              <w:right w:w="100" w:type="dxa"/>
            </w:tcMar>
          </w:tcPr>
          <w:p w14:paraId="49012A4D" w14:textId="77777777" w:rsidR="00154EE0" w:rsidRDefault="00000000">
            <w:r>
              <w:rPr>
                <w:rFonts w:ascii="Calibri" w:eastAsia="Calibri" w:hAnsi="Calibri" w:cs="Calibri"/>
                <w:color w:val="22303F"/>
              </w:rPr>
              <w:t>12.9%</w:t>
            </w:r>
          </w:p>
        </w:tc>
        <w:tc>
          <w:tcPr>
            <w:tcW w:w="1800" w:type="dxa"/>
            <w:tcMar>
              <w:top w:w="80" w:type="dxa"/>
              <w:left w:w="100" w:type="dxa"/>
              <w:bottom w:w="80" w:type="dxa"/>
              <w:right w:w="100" w:type="dxa"/>
            </w:tcMar>
          </w:tcPr>
          <w:p w14:paraId="4CC0B3F9" w14:textId="77777777" w:rsidR="00154EE0" w:rsidRDefault="00000000">
            <w:r>
              <w:rPr>
                <w:rFonts w:ascii="Calibri" w:eastAsia="Calibri" w:hAnsi="Calibri" w:cs="Calibri"/>
                <w:color w:val="22303F"/>
              </w:rPr>
              <w:t>50.7%</w:t>
            </w:r>
          </w:p>
        </w:tc>
      </w:tr>
      <w:tr w:rsidR="00154EE0" w14:paraId="3B7BA1EF" w14:textId="77777777">
        <w:tblPrEx>
          <w:tblCellMar>
            <w:top w:w="0" w:type="dxa"/>
            <w:bottom w:w="0" w:type="dxa"/>
          </w:tblCellMar>
        </w:tblPrEx>
        <w:tc>
          <w:tcPr>
            <w:tcW w:w="2360" w:type="dxa"/>
            <w:tcMar>
              <w:top w:w="80" w:type="dxa"/>
              <w:left w:w="100" w:type="dxa"/>
              <w:bottom w:w="80" w:type="dxa"/>
              <w:right w:w="100" w:type="dxa"/>
            </w:tcMar>
          </w:tcPr>
          <w:p w14:paraId="03AD7A87" w14:textId="77777777" w:rsidR="00154EE0" w:rsidRDefault="00000000">
            <w:r>
              <w:rPr>
                <w:rFonts w:ascii="Calibri" w:eastAsia="Calibri" w:hAnsi="Calibri" w:cs="Calibri"/>
                <w:color w:val="22303F"/>
              </w:rPr>
              <w:t>50s</w:t>
            </w:r>
          </w:p>
        </w:tc>
        <w:tc>
          <w:tcPr>
            <w:tcW w:w="2000" w:type="dxa"/>
            <w:tcMar>
              <w:top w:w="80" w:type="dxa"/>
              <w:left w:w="100" w:type="dxa"/>
              <w:bottom w:w="80" w:type="dxa"/>
              <w:right w:w="100" w:type="dxa"/>
            </w:tcMar>
          </w:tcPr>
          <w:p w14:paraId="31422EFD" w14:textId="77777777" w:rsidR="00154EE0" w:rsidRDefault="00000000">
            <w:r>
              <w:rPr>
                <w:rFonts w:ascii="Calibri" w:eastAsia="Calibri" w:hAnsi="Calibri" w:cs="Calibri"/>
                <w:color w:val="22303F"/>
              </w:rPr>
              <w:t>869</w:t>
            </w:r>
          </w:p>
        </w:tc>
        <w:tc>
          <w:tcPr>
            <w:tcW w:w="2400" w:type="dxa"/>
            <w:tcMar>
              <w:top w:w="80" w:type="dxa"/>
              <w:left w:w="100" w:type="dxa"/>
              <w:bottom w:w="80" w:type="dxa"/>
              <w:right w:w="100" w:type="dxa"/>
            </w:tcMar>
          </w:tcPr>
          <w:p w14:paraId="53115E40" w14:textId="77777777" w:rsidR="00154EE0" w:rsidRDefault="00000000">
            <w:r>
              <w:rPr>
                <w:rFonts w:ascii="Calibri" w:eastAsia="Calibri" w:hAnsi="Calibri" w:cs="Calibri"/>
                <w:color w:val="22303F"/>
              </w:rPr>
              <w:t>$58,941</w:t>
            </w:r>
          </w:p>
        </w:tc>
        <w:tc>
          <w:tcPr>
            <w:tcW w:w="1800" w:type="dxa"/>
            <w:tcMar>
              <w:top w:w="80" w:type="dxa"/>
              <w:left w:w="100" w:type="dxa"/>
              <w:bottom w:w="80" w:type="dxa"/>
              <w:right w:w="100" w:type="dxa"/>
            </w:tcMar>
          </w:tcPr>
          <w:p w14:paraId="5C599BE2" w14:textId="77777777" w:rsidR="00154EE0" w:rsidRDefault="00000000">
            <w:r>
              <w:rPr>
                <w:rFonts w:ascii="Calibri" w:eastAsia="Calibri" w:hAnsi="Calibri" w:cs="Calibri"/>
                <w:color w:val="22303F"/>
              </w:rPr>
              <w:t>13.0%</w:t>
            </w:r>
          </w:p>
        </w:tc>
        <w:tc>
          <w:tcPr>
            <w:tcW w:w="1800" w:type="dxa"/>
            <w:tcMar>
              <w:top w:w="80" w:type="dxa"/>
              <w:left w:w="100" w:type="dxa"/>
              <w:bottom w:w="80" w:type="dxa"/>
              <w:right w:w="100" w:type="dxa"/>
            </w:tcMar>
          </w:tcPr>
          <w:p w14:paraId="74BE16BF" w14:textId="77777777" w:rsidR="00154EE0" w:rsidRDefault="00000000">
            <w:r>
              <w:rPr>
                <w:rFonts w:ascii="Calibri" w:eastAsia="Calibri" w:hAnsi="Calibri" w:cs="Calibri"/>
                <w:color w:val="22303F"/>
              </w:rPr>
              <w:t>52.7%</w:t>
            </w:r>
          </w:p>
        </w:tc>
      </w:tr>
      <w:tr w:rsidR="00154EE0" w14:paraId="497CE7DB" w14:textId="77777777">
        <w:tblPrEx>
          <w:tblCellMar>
            <w:top w:w="0" w:type="dxa"/>
            <w:bottom w:w="0" w:type="dxa"/>
          </w:tblCellMar>
        </w:tblPrEx>
        <w:tc>
          <w:tcPr>
            <w:tcW w:w="2360" w:type="dxa"/>
            <w:tcMar>
              <w:top w:w="80" w:type="dxa"/>
              <w:left w:w="100" w:type="dxa"/>
              <w:bottom w:w="80" w:type="dxa"/>
              <w:right w:w="100" w:type="dxa"/>
            </w:tcMar>
          </w:tcPr>
          <w:p w14:paraId="1100341B" w14:textId="77777777" w:rsidR="00154EE0" w:rsidRDefault="00000000">
            <w:r>
              <w:rPr>
                <w:rFonts w:ascii="Calibri" w:eastAsia="Calibri" w:hAnsi="Calibri" w:cs="Calibri"/>
                <w:color w:val="22303F"/>
              </w:rPr>
              <w:t>60+</w:t>
            </w:r>
          </w:p>
        </w:tc>
        <w:tc>
          <w:tcPr>
            <w:tcW w:w="2000" w:type="dxa"/>
            <w:tcMar>
              <w:top w:w="80" w:type="dxa"/>
              <w:left w:w="100" w:type="dxa"/>
              <w:bottom w:w="80" w:type="dxa"/>
              <w:right w:w="100" w:type="dxa"/>
            </w:tcMar>
          </w:tcPr>
          <w:p w14:paraId="4FDBA0F6" w14:textId="77777777" w:rsidR="00154EE0" w:rsidRDefault="00000000">
            <w:r>
              <w:rPr>
                <w:rFonts w:ascii="Calibri" w:eastAsia="Calibri" w:hAnsi="Calibri" w:cs="Calibri"/>
                <w:color w:val="22303F"/>
              </w:rPr>
              <w:t>526</w:t>
            </w:r>
          </w:p>
        </w:tc>
        <w:tc>
          <w:tcPr>
            <w:tcW w:w="2400" w:type="dxa"/>
            <w:tcMar>
              <w:top w:w="80" w:type="dxa"/>
              <w:left w:w="100" w:type="dxa"/>
              <w:bottom w:w="80" w:type="dxa"/>
              <w:right w:w="100" w:type="dxa"/>
            </w:tcMar>
          </w:tcPr>
          <w:p w14:paraId="37BADD34" w14:textId="77777777" w:rsidR="00154EE0" w:rsidRDefault="00000000">
            <w:r>
              <w:rPr>
                <w:rFonts w:ascii="Calibri" w:eastAsia="Calibri" w:hAnsi="Calibri" w:cs="Calibri"/>
                <w:color w:val="22303F"/>
              </w:rPr>
              <w:t>$58,147</w:t>
            </w:r>
          </w:p>
        </w:tc>
        <w:tc>
          <w:tcPr>
            <w:tcW w:w="1800" w:type="dxa"/>
            <w:tcMar>
              <w:top w:w="80" w:type="dxa"/>
              <w:left w:w="100" w:type="dxa"/>
              <w:bottom w:w="80" w:type="dxa"/>
              <w:right w:w="100" w:type="dxa"/>
            </w:tcMar>
          </w:tcPr>
          <w:p w14:paraId="16C4D395" w14:textId="77777777" w:rsidR="00154EE0" w:rsidRDefault="00000000">
            <w:r>
              <w:rPr>
                <w:rFonts w:ascii="Calibri" w:eastAsia="Calibri" w:hAnsi="Calibri" w:cs="Calibri"/>
                <w:color w:val="22303F"/>
              </w:rPr>
              <w:t>13.1%</w:t>
            </w:r>
          </w:p>
        </w:tc>
        <w:tc>
          <w:tcPr>
            <w:tcW w:w="1800" w:type="dxa"/>
            <w:tcMar>
              <w:top w:w="80" w:type="dxa"/>
              <w:left w:w="100" w:type="dxa"/>
              <w:bottom w:w="80" w:type="dxa"/>
              <w:right w:w="100" w:type="dxa"/>
            </w:tcMar>
          </w:tcPr>
          <w:p w14:paraId="17F5BDBE" w14:textId="77777777" w:rsidR="00154EE0" w:rsidRDefault="00000000">
            <w:r>
              <w:rPr>
                <w:rFonts w:ascii="Calibri" w:eastAsia="Calibri" w:hAnsi="Calibri" w:cs="Calibri"/>
                <w:color w:val="22303F"/>
              </w:rPr>
              <w:t>49.0%</w:t>
            </w:r>
          </w:p>
        </w:tc>
      </w:tr>
    </w:tbl>
    <w:p w14:paraId="57D7A17C" w14:textId="77777777" w:rsidR="00154EE0" w:rsidRDefault="00000000">
      <w:pPr>
        <w:pStyle w:val="Heading1"/>
        <w:spacing w:before="300" w:after="150"/>
      </w:pPr>
      <w:r>
        <w:rPr>
          <w:rFonts w:ascii="Calibri" w:eastAsia="Calibri" w:hAnsi="Calibri" w:cs="Calibri"/>
          <w:b/>
          <w:bCs/>
          <w:color w:val="3F6A95"/>
          <w:sz w:val="30"/>
          <w:szCs w:val="30"/>
        </w:rPr>
        <w:t>Churn Analysis</w:t>
      </w:r>
    </w:p>
    <w:p w14:paraId="065B0597" w14:textId="77777777" w:rsidR="00154EE0" w:rsidRDefault="00000000">
      <w:pPr>
        <w:spacing w:after="180" w:line="276" w:lineRule="auto"/>
      </w:pPr>
      <w:r>
        <w:rPr>
          <w:rFonts w:ascii="Calibri" w:eastAsia="Calibri" w:hAnsi="Calibri" w:cs="Calibri"/>
          <w:sz w:val="22"/>
          <w:szCs w:val="22"/>
        </w:rPr>
        <w:t>The project's central business question was what drives customer churn. Every variable tested, Wealth Tier, Credit Band, Salary Band, Age Group, and number of products held, was checked against churn rate.</w:t>
      </w:r>
    </w:p>
    <w:p w14:paraId="6CF228C7" w14:textId="77777777" w:rsidR="00154EE0" w:rsidRDefault="00000000">
      <w:pPr>
        <w:spacing w:before="100" w:after="200"/>
        <w:jc w:val="center"/>
      </w:pPr>
      <w:r>
        <w:rPr>
          <w:noProof/>
        </w:rPr>
        <w:drawing>
          <wp:inline distT="0" distB="0" distL="0" distR="0" wp14:anchorId="35ECD49B" wp14:editId="59A4FBAC">
            <wp:extent cx="523875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990850"/>
                    </a:xfrm>
                    <a:prstGeom prst="rect">
                      <a:avLst/>
                    </a:prstGeom>
                  </pic:spPr>
                </pic:pic>
              </a:graphicData>
            </a:graphic>
          </wp:inline>
        </w:drawing>
      </w:r>
    </w:p>
    <w:p w14:paraId="2113399B" w14:textId="77777777" w:rsidR="00154EE0" w:rsidRDefault="00000000">
      <w:pPr>
        <w:spacing w:after="180" w:line="276" w:lineRule="auto"/>
      </w:pPr>
      <w:r>
        <w:rPr>
          <w:rFonts w:ascii="Calibri" w:eastAsia="Calibri" w:hAnsi="Calibri" w:cs="Calibri"/>
          <w:i/>
          <w:iCs/>
          <w:sz w:val="22"/>
          <w:szCs w:val="22"/>
        </w:rPr>
        <w:lastRenderedPageBreak/>
        <w:t>Churn rate by number of products held ranges narrowly from 47.7% to 51.2%, a spread of less than 4 percentage points across the entire range, with no clean or consistent trend. This does not support a claim that holding more products meaningfully reduces churn on its own.</w:t>
      </w:r>
    </w:p>
    <w:p w14:paraId="7995A494" w14:textId="77777777" w:rsidR="00154EE0" w:rsidRDefault="00000000">
      <w:pPr>
        <w:spacing w:before="100" w:after="200"/>
        <w:jc w:val="center"/>
      </w:pPr>
      <w:r>
        <w:rPr>
          <w:noProof/>
        </w:rPr>
        <w:drawing>
          <wp:inline distT="0" distB="0" distL="0" distR="0" wp14:anchorId="2957EC9F" wp14:editId="2D1D6242">
            <wp:extent cx="5715000" cy="2857500"/>
            <wp:effectExtent l="0" t="0" r="0" b="0"/>
            <wp:docPr id="692220981" name="Picture 69222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57500"/>
                    </a:xfrm>
                    <a:prstGeom prst="rect">
                      <a:avLst/>
                    </a:prstGeom>
                  </pic:spPr>
                </pic:pic>
              </a:graphicData>
            </a:graphic>
          </wp:inline>
        </w:drawing>
      </w:r>
    </w:p>
    <w:p w14:paraId="7CD7C796" w14:textId="77777777" w:rsidR="00154EE0" w:rsidRDefault="00000000">
      <w:pPr>
        <w:spacing w:after="180" w:line="276" w:lineRule="auto"/>
      </w:pPr>
      <w:r>
        <w:rPr>
          <w:rFonts w:ascii="Calibri" w:eastAsia="Calibri" w:hAnsi="Calibri" w:cs="Calibri"/>
          <w:i/>
          <w:iCs/>
          <w:sz w:val="22"/>
          <w:szCs w:val="22"/>
        </w:rPr>
        <w:t>The same pattern holds across every other variable tested. Wealth Tier, Credit Band, and Salary Band all show churn rates clustered tightly between roughly 48% and 51%, regardless of category.</w:t>
      </w:r>
    </w:p>
    <w:p w14:paraId="7D10AF10" w14:textId="77777777" w:rsidR="00154EE0" w:rsidRDefault="00000000">
      <w:pPr>
        <w:pStyle w:val="Heading1"/>
        <w:spacing w:before="300" w:after="150"/>
      </w:pPr>
      <w:r>
        <w:rPr>
          <w:rFonts w:ascii="Calibri" w:eastAsia="Calibri" w:hAnsi="Calibri" w:cs="Calibri"/>
          <w:b/>
          <w:bCs/>
          <w:color w:val="3F6A95"/>
          <w:sz w:val="30"/>
          <w:szCs w:val="30"/>
        </w:rPr>
        <w:t>Conclusion</w:t>
      </w:r>
    </w:p>
    <w:p w14:paraId="0418F679" w14:textId="77777777" w:rsidR="00154EE0" w:rsidRDefault="00000000">
      <w:pPr>
        <w:spacing w:after="180" w:line="276" w:lineRule="auto"/>
      </w:pPr>
      <w:r>
        <w:rPr>
          <w:rFonts w:ascii="Calibri" w:eastAsia="Calibri" w:hAnsi="Calibri" w:cs="Calibri"/>
          <w:sz w:val="22"/>
          <w:szCs w:val="22"/>
        </w:rPr>
        <w:t>The honest finding from this analysis is that no single variable, wealth tier, credit band, salary band, age group, or number of products held, meaningfully predicts churn on its own. Churn holds steady in a narrow band across nearly every segment tested. The one place meaningful variation does appear is in specific intersections of multiple factors at once (for example, a particular age, credit band, and country combination together), though those segments are small enough in sample size that they would need further validation before being treated as reliable drivers.</w:t>
      </w:r>
    </w:p>
    <w:p w14:paraId="4CB42499" w14:textId="77777777" w:rsidR="00154EE0" w:rsidRDefault="00000000">
      <w:pPr>
        <w:spacing w:after="180" w:line="276" w:lineRule="auto"/>
      </w:pPr>
      <w:r>
        <w:rPr>
          <w:rFonts w:ascii="Calibri" w:eastAsia="Calibri" w:hAnsi="Calibri" w:cs="Calibri"/>
          <w:sz w:val="22"/>
          <w:szCs w:val="22"/>
        </w:rPr>
        <w:t>This points to a clear next step: predicting churn in this dataset would require a model that considers combinations of factors together, rather than relying on any single variable in isolation. That is a more accurate and defensible conclusion than attributing churn to any one factor, and it reflects the kind of finding that should shape how this data is used in decision-making going forward.</w:t>
      </w:r>
    </w:p>
    <w:sectPr w:rsidR="00154EE0">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537510"/>
    <w:multiLevelType w:val="hybridMultilevel"/>
    <w:tmpl w:val="82FA4C68"/>
    <w:lvl w:ilvl="0" w:tplc="89E0F954">
      <w:start w:val="1"/>
      <w:numFmt w:val="bullet"/>
      <w:lvlText w:val="●"/>
      <w:lvlJc w:val="left"/>
      <w:pPr>
        <w:ind w:left="720" w:hanging="360"/>
      </w:pPr>
    </w:lvl>
    <w:lvl w:ilvl="1" w:tplc="A03EFC04">
      <w:start w:val="1"/>
      <w:numFmt w:val="bullet"/>
      <w:lvlText w:val="○"/>
      <w:lvlJc w:val="left"/>
      <w:pPr>
        <w:ind w:left="1440" w:hanging="360"/>
      </w:pPr>
    </w:lvl>
    <w:lvl w:ilvl="2" w:tplc="EF5AECF6">
      <w:start w:val="1"/>
      <w:numFmt w:val="bullet"/>
      <w:lvlText w:val="■"/>
      <w:lvlJc w:val="left"/>
      <w:pPr>
        <w:ind w:left="2160" w:hanging="360"/>
      </w:pPr>
    </w:lvl>
    <w:lvl w:ilvl="3" w:tplc="32404D7C">
      <w:start w:val="1"/>
      <w:numFmt w:val="bullet"/>
      <w:lvlText w:val="●"/>
      <w:lvlJc w:val="left"/>
      <w:pPr>
        <w:ind w:left="2880" w:hanging="360"/>
      </w:pPr>
    </w:lvl>
    <w:lvl w:ilvl="4" w:tplc="1F7EA47E">
      <w:start w:val="1"/>
      <w:numFmt w:val="bullet"/>
      <w:lvlText w:val="○"/>
      <w:lvlJc w:val="left"/>
      <w:pPr>
        <w:ind w:left="3600" w:hanging="360"/>
      </w:pPr>
    </w:lvl>
    <w:lvl w:ilvl="5" w:tplc="E4FC4294">
      <w:start w:val="1"/>
      <w:numFmt w:val="bullet"/>
      <w:lvlText w:val="■"/>
      <w:lvlJc w:val="left"/>
      <w:pPr>
        <w:ind w:left="4320" w:hanging="360"/>
      </w:pPr>
    </w:lvl>
    <w:lvl w:ilvl="6" w:tplc="9DAA1562">
      <w:start w:val="1"/>
      <w:numFmt w:val="bullet"/>
      <w:lvlText w:val="●"/>
      <w:lvlJc w:val="left"/>
      <w:pPr>
        <w:ind w:left="5040" w:hanging="360"/>
      </w:pPr>
    </w:lvl>
    <w:lvl w:ilvl="7" w:tplc="B12EA6B2">
      <w:start w:val="1"/>
      <w:numFmt w:val="bullet"/>
      <w:lvlText w:val="●"/>
      <w:lvlJc w:val="left"/>
      <w:pPr>
        <w:ind w:left="5760" w:hanging="360"/>
      </w:pPr>
    </w:lvl>
    <w:lvl w:ilvl="8" w:tplc="8DB843F4">
      <w:start w:val="1"/>
      <w:numFmt w:val="bullet"/>
      <w:lvlText w:val="●"/>
      <w:lvlJc w:val="left"/>
      <w:pPr>
        <w:ind w:left="6480" w:hanging="360"/>
      </w:pPr>
    </w:lvl>
  </w:abstractNum>
  <w:num w:numId="1" w16cid:durableId="12042939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EE0"/>
    <w:rsid w:val="00154EE0"/>
    <w:rsid w:val="00166594"/>
    <w:rsid w:val="002D58C3"/>
    <w:rsid w:val="00BB1B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1820944"/>
  <w15:docId w15:val="{6CA77914-0B5C-B946-A4C1-78D4ABCE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Bansal</cp:lastModifiedBy>
  <cp:revision>2</cp:revision>
  <dcterms:created xsi:type="dcterms:W3CDTF">2026-08-09T05:20:00Z</dcterms:created>
  <dcterms:modified xsi:type="dcterms:W3CDTF">2026-08-09T05:20:00Z</dcterms:modified>
</cp:coreProperties>
</file>