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0000"/>
          <w:sz w:val="32"/>
        </w:rPr>
        <w:t>CONFIDENTIAL STRATEGY: board_strategy.docx</w:t>
      </w:r>
    </w:p>
    <w:p>
      <w:r>
        <w:rPr>
          <w:i/>
          <w:color w:val="646464"/>
          <w:sz w:val="20"/>
        </w:rPr>
        <w:t>Classification: Internal Restricted — Board of Directors Discretion Only</w:t>
      </w:r>
    </w:p>
    <w:p>
      <w:pPr>
        <w:pStyle w:val="Heading2"/>
      </w:pPr>
      <w:r>
        <w:t>1. Strategic M&amp;A Advisory &amp; Market Expansion</w:t>
      </w:r>
    </w:p>
    <w:p>
      <w:r>
        <w:t>This internal strategy document outlines projected corporate acquisition targets and proprietary financial hedges for Q3/Q4. All access events are registered.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 Parameter</w:t>
            </w:r>
          </w:p>
        </w:tc>
        <w:tc>
          <w:tcPr>
            <w:tcW w:type="dxa" w:w="4320"/>
          </w:tcPr>
          <w:p>
            <w:r>
              <w:t>Designation</w:t>
            </w:r>
          </w:p>
        </w:tc>
      </w:tr>
      <w:tr>
        <w:tc>
          <w:tcPr>
            <w:tcW w:type="dxa" w:w="4320"/>
          </w:tcPr>
          <w:p>
            <w:r>
              <w:t>Tracking Token ID</w:t>
            </w:r>
          </w:p>
        </w:tc>
        <w:tc>
          <w:tcPr>
            <w:tcW w:type="dxa" w:w="4320"/>
          </w:tcPr>
          <w:p>
            <w:r>
              <w:t>800f90d51c4927ce1d13f41feaba5c3d</w:t>
            </w:r>
          </w:p>
        </w:tc>
      </w:tr>
      <w:tr>
        <w:tc>
          <w:tcPr>
            <w:tcW w:type="dxa" w:w="4320"/>
          </w:tcPr>
          <w:p>
            <w:r>
              <w:t>Document Classification</w:t>
            </w:r>
          </w:p>
        </w:tc>
        <w:tc>
          <w:tcPr>
            <w:tcW w:type="dxa" w:w="4320"/>
          </w:tcPr>
          <w:p>
            <w:r>
              <w:t>Restricted Corporate Asset</w:t>
            </w:r>
          </w:p>
        </w:tc>
      </w:tr>
      <w:tr>
        <w:tc>
          <w:tcPr>
            <w:tcW w:type="dxa" w:w="4320"/>
          </w:tcPr>
          <w:p>
            <w:r>
              <w:t>Active Defense Beacon</w:t>
            </w:r>
          </w:p>
        </w:tc>
        <w:tc>
          <w:tcPr>
            <w:tcW w:type="dxa" w:w="4320"/>
          </w:tcPr>
          <w:p>
            <w:r>
              <w:t>http://192.168.29.238:5000/beacon/800f90d51c4927ce1d13f41feaba5c3d</w:t>
            </w:r>
          </w:p>
        </w:tc>
      </w:tr>
      <w:tr>
        <w:tc>
          <w:tcPr>
            <w:tcW w:type="dxa" w:w="4320"/>
          </w:tcPr>
          <w:p>
            <w:r>
              <w:t>Audit Verification</w:t>
            </w:r>
          </w:p>
        </w:tc>
        <w:tc>
          <w:tcPr>
            <w:tcW w:type="dxa" w:w="4320"/>
          </w:tcPr>
          <w:p>
            <w:r>
              <w:t>Centralized SOC Logging 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pic="http://schemas.openxmlformats.org/drawingml/2006/picture">
      <w:r>
        <w:drawing>
          <wp:inline distT="0" distB="0" distL="0" distR="0">
            <wp:extent cx="9525" cy="9525"/>
            <wp:docPr id="101" name="CyberGuardBeaconPixel"/>
            <a:graphic>
              <a:graphicData uri="http://schemas.openxmlformats.org/drawingml/2006/picture">
                <pic:pic>
                  <pic:nvPicPr>
                    <pic:cNvPr id="102" name="BeaconPixel"/>
                    <pic:cNvPicPr/>
                  </pic:nvPicPr>
                  <pic:blipFill>
                    <a:blip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http://192.168.29.238:5000/beacon/800f90d51c4927ce1d13f41feaba5c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