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3366"/>
          <w:sz w:val="44"/>
        </w:rPr>
        <w:t>AGNI-NETRA:</w:t>
        <w:br/>
        <w:t>A Geospatial Intelligence and Machine-Learning Platform for Satellite-Based Thermal Event Detection, Contextualization, Risk Assessment, and Human-in-the-Loop Decision Support in India</w:t>
      </w:r>
    </w:p>
    <w:p>
      <w:pPr>
        <w:spacing w:after="720"/>
        <w:jc w:val="center"/>
      </w:pPr>
      <w:r>
        <w:rPr>
          <w:i/>
          <w:color w:val="5A5A5A"/>
          <w:sz w:val="26"/>
        </w:rPr>
        <w:t>From Raw Satellite Thermal Anomaly Ingestion to Multi-Source Contextualization, Calibrated Risk Scoring, and National Command Center Operations</w:t>
      </w:r>
    </w:p>
    <w:p>
      <w:pPr>
        <w:spacing w:after="960"/>
        <w:jc w:val="center"/>
      </w:pPr>
      <w:r>
        <w:rPr>
          <w:color w:val="3C3C3C"/>
          <w:sz w:val="22"/>
        </w:rPr>
        <w:t>AGNI-NETRA Project Core Engineering Team</w:t>
        <w:br/>
        <w:t>Advanced Geospatial &amp; Thermal Intelligence Initiative, India</w:t>
        <w:br/>
        <w:t>September 2026 | Production Go-Live Release (Phase 16)</w:t>
      </w:r>
    </w:p>
    <w:tbl>
      <w:tblPr>
        <w:tblW w:type="auto" w:w="0"/>
        <w:jc w:val="center"/>
        <w:tblLook w:firstColumn="1" w:firstRow="1" w:lastColumn="0" w:lastRow="0" w:noHBand="0" w:noVBand="1" w:val="04A0"/>
      </w:tblPr>
      <w:tblGrid>
        <w:gridCol w:w="4968"/>
        <w:gridCol w:w="4968"/>
      </w:tblGrid>
      <w:tr>
        <w:tc>
          <w:tcPr>
            <w:tcW w:type="dxa" w:w="4032"/>
            <w:shd w:fill="003366"/>
            <w:tcMar>
              <w:top w:w="120" w:type="dxa"/>
              <w:bottom w:w="120" w:type="dxa"/>
              <w:left w:w="140" w:type="dxa"/>
              <w:right w:w="140" w:type="dxa"/>
            </w:tcMar>
          </w:tcPr>
          <w:p>
            <w:pPr>
              <w:jc w:val="left"/>
            </w:pPr>
            <w:r>
              <w:rPr>
                <w:rFonts w:ascii="Calibri" w:hAnsi="Calibri"/>
                <w:b/>
                <w:color w:val="FFFFFF"/>
                <w:sz w:val="19"/>
              </w:rPr>
              <w:t>Core Platform Dimension</w:t>
            </w:r>
          </w:p>
        </w:tc>
        <w:tc>
          <w:tcPr>
            <w:tcW w:type="dxa" w:w="5760"/>
            <w:shd w:fill="003366"/>
            <w:tcMar>
              <w:top w:w="120" w:type="dxa"/>
              <w:bottom w:w="120" w:type="dxa"/>
              <w:left w:w="140" w:type="dxa"/>
              <w:right w:w="140" w:type="dxa"/>
            </w:tcMar>
          </w:tcPr>
          <w:p>
            <w:pPr>
              <w:jc w:val="left"/>
            </w:pPr>
            <w:r>
              <w:rPr>
                <w:rFonts w:ascii="Calibri" w:hAnsi="Calibri"/>
                <w:b/>
                <w:color w:val="FFFFFF"/>
                <w:sz w:val="19"/>
              </w:rPr>
              <w:t>Verified Operational State</w:t>
            </w:r>
          </w:p>
        </w:tc>
      </w:tr>
      <w:tr>
        <w:tc>
          <w:tcPr>
            <w:tcW w:type="dxa" w:w="4032"/>
            <w:shd w:fill="FFFFFF"/>
            <w:tcMar>
              <w:top w:w="100" w:type="dxa"/>
              <w:bottom w:w="100" w:type="dxa"/>
              <w:left w:w="140" w:type="dxa"/>
              <w:right w:w="140" w:type="dxa"/>
            </w:tcMar>
          </w:tcPr>
          <w:p>
            <w:pPr>
              <w:jc w:val="left"/>
            </w:pPr>
            <w:r>
              <w:rPr>
                <w:rFonts w:ascii="Calibri" w:hAnsi="Calibri"/>
                <w:sz w:val="18"/>
              </w:rPr>
              <w:t>Database Engine</w:t>
            </w:r>
          </w:p>
        </w:tc>
        <w:tc>
          <w:tcPr>
            <w:tcW w:type="dxa" w:w="5760"/>
            <w:shd w:fill="FFFFFF"/>
            <w:tcMar>
              <w:top w:w="100" w:type="dxa"/>
              <w:bottom w:w="100" w:type="dxa"/>
              <w:left w:w="140" w:type="dxa"/>
              <w:right w:w="140" w:type="dxa"/>
            </w:tcMar>
          </w:tcPr>
          <w:p>
            <w:pPr>
              <w:jc w:val="left"/>
            </w:pPr>
            <w:r>
              <w:rPr>
                <w:rFonts w:ascii="Calibri" w:hAnsi="Calibri"/>
                <w:sz w:val="18"/>
              </w:rPr>
              <w:t>PostgreSQL 16.1 + PostGIS 3.4.2 (EPSG:4326)</w:t>
            </w:r>
          </w:p>
        </w:tc>
      </w:tr>
      <w:tr>
        <w:tc>
          <w:tcPr>
            <w:tcW w:type="dxa" w:w="4032"/>
            <w:shd w:fill="F8F9FA"/>
            <w:tcMar>
              <w:top w:w="100" w:type="dxa"/>
              <w:bottom w:w="100" w:type="dxa"/>
              <w:left w:w="140" w:type="dxa"/>
              <w:right w:w="140" w:type="dxa"/>
            </w:tcMar>
          </w:tcPr>
          <w:p>
            <w:pPr>
              <w:jc w:val="left"/>
            </w:pPr>
            <w:r>
              <w:rPr>
                <w:rFonts w:ascii="Calibri" w:hAnsi="Calibri"/>
                <w:sz w:val="18"/>
              </w:rPr>
              <w:t>Authoritative Thermal Records</w:t>
            </w:r>
          </w:p>
        </w:tc>
        <w:tc>
          <w:tcPr>
            <w:tcW w:type="dxa" w:w="5760"/>
            <w:shd w:fill="F8F9FA"/>
            <w:tcMar>
              <w:top w:w="100" w:type="dxa"/>
              <w:bottom w:w="100" w:type="dxa"/>
              <w:left w:w="140" w:type="dxa"/>
              <w:right w:w="140" w:type="dxa"/>
            </w:tcMar>
          </w:tcPr>
          <w:p>
            <w:pPr>
              <w:jc w:val="left"/>
            </w:pPr>
            <w:r>
              <w:rPr>
                <w:rFonts w:ascii="Calibri" w:hAnsi="Calibri"/>
                <w:sz w:val="18"/>
              </w:rPr>
              <w:t>8,221,825+ Observations (2022–2026 Archive)</w:t>
            </w:r>
          </w:p>
        </w:tc>
      </w:tr>
      <w:tr>
        <w:tc>
          <w:tcPr>
            <w:tcW w:type="dxa" w:w="4032"/>
            <w:shd w:fill="FFFFFF"/>
            <w:tcMar>
              <w:top w:w="100" w:type="dxa"/>
              <w:bottom w:w="100" w:type="dxa"/>
              <w:left w:w="140" w:type="dxa"/>
              <w:right w:w="140" w:type="dxa"/>
            </w:tcMar>
          </w:tcPr>
          <w:p>
            <w:pPr>
              <w:jc w:val="left"/>
            </w:pPr>
            <w:r>
              <w:rPr>
                <w:rFonts w:ascii="Calibri" w:hAnsi="Calibri"/>
                <w:sz w:val="18"/>
              </w:rPr>
              <w:t>Historical Partition Status</w:t>
            </w:r>
          </w:p>
        </w:tc>
        <w:tc>
          <w:tcPr>
            <w:tcW w:type="dxa" w:w="5760"/>
            <w:shd w:fill="FFFFFF"/>
            <w:tcMar>
              <w:top w:w="100" w:type="dxa"/>
              <w:bottom w:w="100" w:type="dxa"/>
              <w:left w:w="140" w:type="dxa"/>
              <w:right w:w="140" w:type="dxa"/>
            </w:tcMar>
          </w:tcPr>
          <w:p>
            <w:pPr>
              <w:jc w:val="left"/>
            </w:pPr>
            <w:r>
              <w:rPr>
                <w:rFonts w:ascii="Calibri" w:hAnsi="Calibri"/>
                <w:sz w:val="18"/>
              </w:rPr>
              <w:t>100% Sealed &amp; Immutable (6,448,666 rows, 0 diff)</w:t>
            </w:r>
          </w:p>
        </w:tc>
      </w:tr>
      <w:tr>
        <w:tc>
          <w:tcPr>
            <w:tcW w:type="dxa" w:w="4032"/>
            <w:shd w:fill="F8F9FA"/>
            <w:tcMar>
              <w:top w:w="100" w:type="dxa"/>
              <w:bottom w:w="100" w:type="dxa"/>
              <w:left w:w="140" w:type="dxa"/>
              <w:right w:w="140" w:type="dxa"/>
            </w:tcMar>
          </w:tcPr>
          <w:p>
            <w:pPr>
              <w:jc w:val="left"/>
            </w:pPr>
            <w:r>
              <w:rPr>
                <w:rFonts w:ascii="Calibri" w:hAnsi="Calibri"/>
                <w:sz w:val="18"/>
              </w:rPr>
              <w:t>Geospatial Knowledge Base</w:t>
            </w:r>
          </w:p>
        </w:tc>
        <w:tc>
          <w:tcPr>
            <w:tcW w:type="dxa" w:w="5760"/>
            <w:shd w:fill="F8F9FA"/>
            <w:tcMar>
              <w:top w:w="100" w:type="dxa"/>
              <w:bottom w:w="100" w:type="dxa"/>
              <w:left w:w="140" w:type="dxa"/>
              <w:right w:w="140" w:type="dxa"/>
            </w:tcMar>
          </w:tcPr>
          <w:p>
            <w:pPr>
              <w:jc w:val="left"/>
            </w:pPr>
            <w:r>
              <w:rPr>
                <w:rFonts w:ascii="Calibri" w:hAnsi="Calibri"/>
                <w:sz w:val="18"/>
              </w:rPr>
              <w:t>35,684 Facilities | 1,633 CEA Plants | 98,793 Mines</w:t>
            </w:r>
          </w:p>
        </w:tc>
      </w:tr>
      <w:tr>
        <w:tc>
          <w:tcPr>
            <w:tcW w:type="dxa" w:w="4032"/>
            <w:shd w:fill="FFFFFF"/>
            <w:tcMar>
              <w:top w:w="100" w:type="dxa"/>
              <w:bottom w:w="100" w:type="dxa"/>
              <w:left w:w="140" w:type="dxa"/>
              <w:right w:w="140" w:type="dxa"/>
            </w:tcMar>
          </w:tcPr>
          <w:p>
            <w:pPr>
              <w:jc w:val="left"/>
            </w:pPr>
            <w:r>
              <w:rPr>
                <w:rFonts w:ascii="Calibri" w:hAnsi="Calibri"/>
                <w:sz w:val="18"/>
              </w:rPr>
              <w:t>Champion Model</w:t>
            </w:r>
          </w:p>
        </w:tc>
        <w:tc>
          <w:tcPr>
            <w:tcW w:type="dxa" w:w="5760"/>
            <w:shd w:fill="FFFFFF"/>
            <w:tcMar>
              <w:top w:w="100" w:type="dxa"/>
              <w:bottom w:w="100" w:type="dxa"/>
              <w:left w:w="140" w:type="dxa"/>
              <w:right w:w="140" w:type="dxa"/>
            </w:tcMar>
          </w:tcPr>
          <w:p>
            <w:pPr>
              <w:jc w:val="left"/>
            </w:pPr>
            <w:r>
              <w:rPr>
                <w:rFonts w:ascii="Calibri" w:hAnsi="Calibri"/>
                <w:sz w:val="18"/>
              </w:rPr>
              <w:t>xgb-v3.0-real-candidate + Balanced Platt Calibrator</w:t>
            </w:r>
          </w:p>
        </w:tc>
      </w:tr>
      <w:tr>
        <w:tc>
          <w:tcPr>
            <w:tcW w:type="dxa" w:w="4032"/>
            <w:shd w:fill="F8F9FA"/>
            <w:tcMar>
              <w:top w:w="100" w:type="dxa"/>
              <w:bottom w:w="100" w:type="dxa"/>
              <w:left w:w="140" w:type="dxa"/>
              <w:right w:w="140" w:type="dxa"/>
            </w:tcMar>
          </w:tcPr>
          <w:p>
            <w:pPr>
              <w:jc w:val="left"/>
            </w:pPr>
            <w:r>
              <w:rPr>
                <w:rFonts w:ascii="Calibri" w:hAnsi="Calibri"/>
                <w:sz w:val="18"/>
              </w:rPr>
              <w:t>Spatial Validation Accuracy</w:t>
            </w:r>
          </w:p>
        </w:tc>
        <w:tc>
          <w:tcPr>
            <w:tcW w:type="dxa" w:w="5760"/>
            <w:shd w:fill="F8F9FA"/>
            <w:tcMar>
              <w:top w:w="100" w:type="dxa"/>
              <w:bottom w:w="100" w:type="dxa"/>
              <w:left w:w="140" w:type="dxa"/>
              <w:right w:w="140" w:type="dxa"/>
            </w:tcMar>
          </w:tcPr>
          <w:p>
            <w:pPr>
              <w:jc w:val="left"/>
            </w:pPr>
            <w:r>
              <w:rPr>
                <w:rFonts w:ascii="Calibri" w:hAnsi="Calibri"/>
                <w:sz w:val="18"/>
              </w:rPr>
              <w:t>94.32% Mean Accuracy (Macro F1: 0.9318)</w:t>
            </w:r>
          </w:p>
        </w:tc>
      </w:tr>
      <w:tr>
        <w:tc>
          <w:tcPr>
            <w:tcW w:type="dxa" w:w="4032"/>
            <w:shd w:fill="FFFFFF"/>
            <w:tcMar>
              <w:top w:w="100" w:type="dxa"/>
              <w:bottom w:w="100" w:type="dxa"/>
              <w:left w:w="140" w:type="dxa"/>
              <w:right w:w="140" w:type="dxa"/>
            </w:tcMar>
          </w:tcPr>
          <w:p>
            <w:pPr>
              <w:jc w:val="left"/>
            </w:pPr>
            <w:r>
              <w:rPr>
                <w:rFonts w:ascii="Calibri" w:hAnsi="Calibri"/>
                <w:sz w:val="18"/>
              </w:rPr>
              <w:t>Probability Calibration</w:t>
            </w:r>
          </w:p>
        </w:tc>
        <w:tc>
          <w:tcPr>
            <w:tcW w:type="dxa" w:w="5760"/>
            <w:shd w:fill="FFFFFF"/>
            <w:tcMar>
              <w:top w:w="100" w:type="dxa"/>
              <w:bottom w:w="100" w:type="dxa"/>
              <w:left w:w="140" w:type="dxa"/>
              <w:right w:w="140" w:type="dxa"/>
            </w:tcMar>
          </w:tcPr>
          <w:p>
            <w:pPr>
              <w:jc w:val="left"/>
            </w:pPr>
            <w:r>
              <w:rPr>
                <w:rFonts w:ascii="Calibri" w:hAnsi="Calibri"/>
                <w:sz w:val="18"/>
              </w:rPr>
              <w:t>Log-Loss: 0.7124 (55.7% drop) | ECE: 0.1294 (54.3% drop)</w:t>
            </w:r>
          </w:p>
        </w:tc>
      </w:tr>
      <w:tr>
        <w:tc>
          <w:tcPr>
            <w:tcW w:type="dxa" w:w="4032"/>
            <w:shd w:fill="F8F9FA"/>
            <w:tcMar>
              <w:top w:w="100" w:type="dxa"/>
              <w:bottom w:w="100" w:type="dxa"/>
              <w:left w:w="140" w:type="dxa"/>
              <w:right w:w="140" w:type="dxa"/>
            </w:tcMar>
          </w:tcPr>
          <w:p>
            <w:pPr>
              <w:jc w:val="left"/>
            </w:pPr>
            <w:r>
              <w:rPr>
                <w:rFonts w:ascii="Calibri" w:hAnsi="Calibri"/>
                <w:sz w:val="18"/>
              </w:rPr>
              <w:t>Tri-Tier Decision Safety</w:t>
            </w:r>
          </w:p>
        </w:tc>
        <w:tc>
          <w:tcPr>
            <w:tcW w:type="dxa" w:w="5760"/>
            <w:shd w:fill="F8F9FA"/>
            <w:tcMar>
              <w:top w:w="100" w:type="dxa"/>
              <w:bottom w:w="100" w:type="dxa"/>
              <w:left w:w="140" w:type="dxa"/>
              <w:right w:w="140" w:type="dxa"/>
            </w:tcMar>
          </w:tcPr>
          <w:p>
            <w:pPr>
              <w:jc w:val="left"/>
            </w:pPr>
            <w:r>
              <w:rPr>
                <w:rFonts w:ascii="Calibri" w:hAnsi="Calibri"/>
                <w:sz w:val="18"/>
              </w:rPr>
              <w:t>Tier 1 Selective Accuracy: 97.18%</w:t>
            </w:r>
          </w:p>
        </w:tc>
      </w:tr>
      <w:tr>
        <w:tc>
          <w:tcPr>
            <w:tcW w:type="dxa" w:w="4032"/>
            <w:shd w:fill="FFFFFF"/>
            <w:tcMar>
              <w:top w:w="100" w:type="dxa"/>
              <w:bottom w:w="100" w:type="dxa"/>
              <w:left w:w="140" w:type="dxa"/>
              <w:right w:w="140" w:type="dxa"/>
            </w:tcMar>
          </w:tcPr>
          <w:p>
            <w:pPr>
              <w:jc w:val="left"/>
            </w:pPr>
            <w:r>
              <w:rPr>
                <w:rFonts w:ascii="Calibri" w:hAnsi="Calibri"/>
                <w:sz w:val="18"/>
              </w:rPr>
              <w:t>Operational Dispatch Gate</w:t>
            </w:r>
          </w:p>
        </w:tc>
        <w:tc>
          <w:tcPr>
            <w:tcW w:type="dxa" w:w="5760"/>
            <w:shd w:fill="FFFFFF"/>
            <w:tcMar>
              <w:top w:w="100" w:type="dxa"/>
              <w:bottom w:w="100" w:type="dxa"/>
              <w:left w:w="140" w:type="dxa"/>
              <w:right w:w="140" w:type="dxa"/>
            </w:tcMar>
          </w:tcPr>
          <w:p>
            <w:pPr>
              <w:jc w:val="left"/>
            </w:pPr>
            <w:r>
              <w:rPr>
                <w:rFonts w:ascii="Calibri" w:hAnsi="Calibri"/>
                <w:sz w:val="18"/>
              </w:rPr>
              <w:t>ENABLE_OPERATIONAL_DISPATCH_GATE = False (Secured)</w:t>
            </w:r>
          </w:p>
        </w:tc>
      </w:tr>
      <w:tr>
        <w:tc>
          <w:tcPr>
            <w:tcW w:type="dxa" w:w="4032"/>
            <w:shd w:fill="F8F9FA"/>
            <w:tcMar>
              <w:top w:w="100" w:type="dxa"/>
              <w:bottom w:w="100" w:type="dxa"/>
              <w:left w:w="140" w:type="dxa"/>
              <w:right w:w="140" w:type="dxa"/>
            </w:tcMar>
          </w:tcPr>
          <w:p>
            <w:pPr>
              <w:jc w:val="left"/>
            </w:pPr>
            <w:r>
              <w:rPr>
                <w:rFonts w:ascii="Calibri" w:hAnsi="Calibri"/>
                <w:sz w:val="18"/>
              </w:rPr>
              <w:t>Platform Operational Status</w:t>
            </w:r>
          </w:p>
        </w:tc>
        <w:tc>
          <w:tcPr>
            <w:tcW w:type="dxa" w:w="5760"/>
            <w:shd w:fill="F8F9FA"/>
            <w:tcMar>
              <w:top w:w="100" w:type="dxa"/>
              <w:bottom w:w="100" w:type="dxa"/>
              <w:left w:w="140" w:type="dxa"/>
              <w:right w:w="140" w:type="dxa"/>
            </w:tcMar>
          </w:tcPr>
          <w:p>
            <w:pPr>
              <w:jc w:val="left"/>
            </w:pPr>
            <w:r>
              <w:rPr>
                <w:rFonts w:ascii="Calibri" w:hAnsi="Calibri"/>
                <w:sz w:val="18"/>
              </w:rPr>
              <w:t>HEALTHY / PRODUCTION-READY (CONTROLLED ACTIVATION)</w:t>
            </w:r>
          </w:p>
        </w:tc>
      </w:tr>
    </w:tbl>
    <w:p>
      <w:r>
        <w:br w:type="page"/>
      </w:r>
    </w:p>
    <w:p>
      <w:pPr>
        <w:spacing w:after="120" w:line="276" w:lineRule="auto"/>
      </w:pPr>
      <w:r>
        <w:rPr>
          <w:sz w:val="21"/>
        </w:rPr>
        <w:t>Affiliation: Advanced Geospatial &amp; Thermal Intelligence Initiative, India</w:t>
      </w:r>
    </w:p>
    <w:p>
      <w:pPr>
        <w:pStyle w:val="Heading1"/>
        <w:spacing w:before="360" w:after="160"/>
      </w:pPr>
      <w:r>
        <w:t>Abstract</w:t>
      </w:r>
    </w:p>
    <w:p>
      <w:pPr>
        <w:spacing w:after="120" w:line="288" w:lineRule="auto"/>
      </w:pPr>
      <w:r>
        <w:rPr>
          <w:i/>
          <w:sz w:val="21"/>
        </w:rPr>
        <w:t>Detecting, attributing, and responding to high-intensity thermal anomalies across a subcontinent as geographically and industrially diverse as India represents a critical challenge for disaster management, environmental enforcement, industrial safety, and forest conservation. Traditional ground-based reporting suffers from severe latency, incomplete coverage, and administrative fragmentation. While spaceborne thermal radiometers—such as the Visible Infrared Imaging Radiometer Suite (VIIRS) and Moderate Resolution Imaging Spectroradiometer (MODIS) operated under NASA’s Fire Information for Resource Management System (FIRMS)—provide continental thermal anomaly observations, raw pixel detections lack operational context. A raw satellite detection indicates only coordinate location, Fire Radiative Power (FRP), and brightness temperature; it does not indicate whether the heat source is an active flare in a petrochemical refinery, an uncontrolled coal mine fire, illegal crop residue burning, an emergent forest blaze in a tiger reserve, or a routine thermal emission from a power generating utility.</w:t>
      </w:r>
    </w:p>
    <w:p>
      <w:pPr>
        <w:spacing w:after="120" w:line="288" w:lineRule="auto"/>
      </w:pPr>
      <w:r>
        <w:rPr>
          <w:i/>
          <w:sz w:val="21"/>
        </w:rPr>
        <w:t>To bridge this operational gap, we present AGNI-NETRA (Automated Geospatial Network for Industrial &amp; Natural Event Thermal Risk Assessment), a production-grade Geospatial Intelligence (GEOINT) and Machine-Learning platform. AGNI-NETRA integrates 8,221,825+ authoritative satellite thermal observations (2022–2026) with an authoritative PostGIS spatial knowledge base comprising 35,684 industrial facilities, 1,633 Central Electricity Authority (CEA) power stations, 98,793 Indian Bureau of Mines (IBM) mining leases, 11 Wildlife Institute of India (WII) protected areas, Forest Survey of India (FSI) canopy densities, and ISRO Bhuvan Land Use / Land Cover (LULC) features. Raw detections are spatiotemporally clustered using an incremental Density-Based Spatial Clustering of Applications with Noise (DBSCAN) algorithm. A strict Point-in-Time Anti-Leakage Feature Engine generates 26 spatiotemporal, contextual, and physical features without lookahead contamination. An optimized XGBoost multi-class classifier achieves a 5-Fold Grouped Spatial Cross-Validation Macro F1-score of 93.18% (Mean Accuracy: 94.32%) and a frozen 2026 out-of-distribution test accuracy of 69.89% across six operational classes.</w:t>
      </w:r>
    </w:p>
    <w:p>
      <w:pPr>
        <w:spacing w:after="120" w:line="288" w:lineRule="auto"/>
      </w:pPr>
      <w:r>
        <w:rPr>
          <w:i/>
          <w:sz w:val="21"/>
        </w:rPr>
        <w:t>To overcome severe uncalibrated overconfidence, we implement a Balanced Platt Calibrator, reducing multiclass log-loss by 55.7% (from 1.6074 to 0.7124) and Expected Calibration Error (ECE) by 54.3% (from 0.2831 to 0.1294). Local interpretability is achieved via TreeExplainer SHAP, providing transparent feature attribution waterfalls. Event severity is quantified through a transparent 0–100 Multi-Factor Risk Engine. Operational decision-making is governed by a Tri-Tier Human-in-the-Loop (HITL) architecture that achieves 97.18% selective accuracy on high-confidence autonomous candidates (Tier 1) while routing ambiguous cases to an analyst triage queue (Tier 2/3). The system interfaces with a National Command Center powered by Next.js 15, PostGIS spatial indexing, dynamic viewport bounding-box querying, and interactive 7-layer investigation dossiers. All historical partitions (6,448,666 records) remain 100% sealed and immutable. External automated dispatch remains governed under an enforced safety gate (ENABLE_OPERATIONAL_DISPATCH_GATE = False).</w:t>
      </w:r>
    </w:p>
    <w:p>
      <w:pPr>
        <w:pStyle w:val="Heading1"/>
        <w:spacing w:before="280" w:after="120"/>
      </w:pPr>
      <w:r>
        <w:t>Keywords</w:t>
      </w:r>
    </w:p>
    <w:p>
      <w:pPr>
        <w:spacing w:after="120" w:line="276" w:lineRule="auto"/>
      </w:pPr>
      <w:r>
        <w:rPr>
          <w:sz w:val="21"/>
        </w:rPr>
        <w:t>Geospatial Intelligence (GEOINT), Thermal Anomaly Detection, NASA FIRMS, VIIRS, PostGIS, Spatiotemporal Clustering, XGBoost, Platt Calibration, Explainable AI (XAI), SHAP, Human-in-the-Loop (HITL), Fire Risk Scoring, Population Stability Index (PSI), Command Center, Disaster Management.</w:t>
      </w:r>
    </w:p>
    <w:p>
      <w:pPr>
        <w:pStyle w:val="Heading1"/>
        <w:spacing w:before="360" w:after="160"/>
      </w:pPr>
      <w:r>
        <w:t>1. Introduction</w:t>
      </w:r>
    </w:p>
    <w:p>
      <w:pPr>
        <w:spacing w:after="120" w:line="276" w:lineRule="auto"/>
      </w:pPr>
      <w:r>
        <w:rPr>
          <w:sz w:val="21"/>
        </w:rPr>
        <w:t>Thermal anomalies—ranging from forest wildfires and agricultural stubble burning to industrial process fires, oil and gas flaring, and coal seam blazes—exert profound socioeconomic, environmental, and public health impacts across India. Uncontrolled wildfires in biodiverse Western Ghats and Himalayan ecosystems cause devastating habitat destruction, while seasonal agricultural crop burning in the Indo-Gangetic Plain triggers catastrophic atmospheric aerosol episodes impacting hundreds of millions of citizens. Simultaneously, rapid industrial expansion has led to dense clusters of chemical manufacturing, petrochemical refining, steel fabrication, and thermal power generation where equipment failures or unauthorized thermal emissions present severe industrial catastrophe risks.</w:t>
      </w:r>
    </w:p>
    <w:p>
      <w:pPr>
        <w:spacing w:after="120" w:line="276" w:lineRule="auto"/>
      </w:pPr>
      <w:r>
        <w:rPr>
          <w:sz w:val="21"/>
        </w:rPr>
        <w:t>Historically, monitoring and responding to these phenomena relied on ground inspections, manual public telephone emergency calls, and isolated departmental patrols. Such mechanisms are inherently reactive, characterized by reporting delays of hours to days, substantial geographic blind spots, and vulnerability to human reporting bias.</w:t>
      </w:r>
    </w:p>
    <w:p>
      <w:pPr>
        <w:spacing w:after="120" w:line="276" w:lineRule="auto"/>
      </w:pPr>
      <w:r>
        <w:rPr>
          <w:sz w:val="21"/>
        </w:rPr>
        <w:t>The advent of spaceborne Earth observation radiometers has transformed macroscopic thermal monitoring. Constellations including the NASA/NOAA Suomi National Polar-orbiting Partnership (S-NPP), NOAA-20, NOAA-21 (VIIRS 375m I-band), and NASA Terra/Aqua (MODIS 1km) detect radiant heat emissions globally with high temporal revisit rates. Through the Fire Information for Resource Management System (FIRMS), satellite data is distributed rapidly.</w:t>
      </w:r>
    </w:p>
    <w:p>
      <w:pPr>
        <w:spacing w:after="120" w:line="276" w:lineRule="auto"/>
      </w:pPr>
      <w:r>
        <w:rPr>
          <w:sz w:val="21"/>
        </w:rPr>
        <w:t>However, spaceborne thermal detection alone does not constitute operational intelligence. When an Earth observation satellite detects an elevated thermal signature at 22.314^\circ\text{ N}, 73.182^\circ\text{ E} with a Fire Radiative Power of 45\text{ MW}, emergency responders cannot determine from raw telemetry whether this represents:</w:t>
      </w:r>
    </w:p>
    <w:p>
      <w:pPr>
        <w:spacing w:after="120" w:line="276" w:lineRule="auto"/>
      </w:pPr>
      <w:r>
        <w:rPr>
          <w:sz w:val="21"/>
        </w:rPr>
        <w:t>1. A controlled, licensed flare at an oil refinery;</w:t>
      </w:r>
    </w:p>
    <w:p>
      <w:pPr>
        <w:spacing w:after="120" w:line="276" w:lineRule="auto"/>
      </w:pPr>
      <w:r>
        <w:rPr>
          <w:sz w:val="21"/>
        </w:rPr>
        <w:t>2. An emergent structural fire in an unmapped industrial chemical storage unit;</w:t>
      </w:r>
    </w:p>
    <w:p>
      <w:pPr>
        <w:spacing w:after="120" w:line="276" w:lineRule="auto"/>
      </w:pPr>
      <w:r>
        <w:rPr>
          <w:sz w:val="21"/>
        </w:rPr>
        <w:t>3. Illegal surface coal mining activity;</w:t>
      </w:r>
    </w:p>
    <w:p>
      <w:pPr>
        <w:spacing w:after="120" w:line="276" w:lineRule="auto"/>
      </w:pPr>
      <w:r>
        <w:rPr>
          <w:sz w:val="21"/>
        </w:rPr>
        <w:t>4. High-risk biomass burning adjacent to a wildlife corridor; or</w:t>
      </w:r>
    </w:p>
    <w:p>
      <w:pPr>
        <w:spacing w:after="120" w:line="276" w:lineRule="auto"/>
      </w:pPr>
      <w:r>
        <w:rPr>
          <w:sz w:val="21"/>
        </w:rPr>
        <w:t>5. Routine high-heat slag dumping at a steel foundry.</w:t>
      </w:r>
    </w:p>
    <w:p>
      <w:pPr>
        <w:spacing w:after="120" w:line="276" w:lineRule="auto"/>
      </w:pPr>
      <w:r>
        <w:rPr>
          <w:sz w:val="21"/>
        </w:rPr>
        <w:t>Without multi-source geospatial contextualization, historical baseline modeling, probabilistic uncertainty estimation, and explainable decision support, raw satellite data overwhelms operations centers with unranked, unclassified coordinates.</w:t>
      </w:r>
    </w:p>
    <w:p>
      <w:pPr>
        <w:spacing w:after="120" w:line="276" w:lineRule="auto"/>
      </w:pPr>
      <w:r>
        <w:rPr>
          <w:sz w:val="21"/>
        </w:rPr>
        <w:t>AGNI-NETRA was engineered specifically to solve this problem. Developed as an enterprise-grade, microservice-based Geospatial Intelligence platform, AGNI-NETRA ingests raw FIRMS satellite observations, aligns them against authoritative Indian geographic, industrial, and ecological datasets in a PostGIS spatial database, clusters observations into spatiotemporal events, extracts point-in-time features, classifies source attribution using calibrated machine learning, evaluates multi-factor hazard risk, and delivers auditable operational decision support through a National Command Center.</w:t>
      </w:r>
    </w:p>
    <w:p>
      <w:pPr>
        <w:pStyle w:val="Heading1"/>
        <w:spacing w:before="360" w:after="160"/>
      </w:pPr>
      <w:r>
        <w:t>2. Problem Statement</w:t>
      </w:r>
    </w:p>
    <w:p>
      <w:pPr>
        <w:spacing w:after="120" w:line="276" w:lineRule="auto"/>
      </w:pPr>
      <w:r>
        <w:rPr>
          <w:sz w:val="21"/>
        </w:rPr>
        <w:t>The core operational and scientific challenge addressed by AGNI-NETRA is formalised as follows:</w:t>
      </w:r>
    </w:p>
    <w:p>
      <w:pPr>
        <w:spacing w:after="120" w:line="276" w:lineRule="auto"/>
      </w:pPr>
      <w:r>
        <w:rPr>
          <w:sz w:val="21"/>
        </w:rPr>
        <w:t>Given a high-throughput, continuous stream of geolocated spaceborne thermal observations:</w:t>
      </w:r>
    </w:p>
    <w:p>
      <w:pPr>
        <w:spacing w:before="80" w:after="120"/>
        <w:jc w:val="center"/>
      </w:pPr>
      <w:r>
        <w:rPr>
          <w:rFonts w:ascii="Cambria Math" w:hAnsi="Cambria Math"/>
          <w:i/>
          <w:sz w:val="22"/>
        </w:rPr>
        <w:t>\mathcal{S} = \{ s_i = (\text{lat}_i, \text{lon}_i, t_i, \text{FRP}_i, T_{b,i}, \text{conf}_i, \text{sat}_i) \}_{i=1}^N</w:t>
      </w:r>
    </w:p>
    <w:p>
      <w:pPr>
        <w:spacing w:after="120" w:line="276" w:lineRule="auto"/>
      </w:pPr>
      <w:r>
        <w:rPr>
          <w:sz w:val="21"/>
        </w:rPr>
        <w:t>derive an operational decision tuple \mathcal{D}_j for each emergent spatiotemporal thermal event \mathcal{E}_j:</w:t>
      </w:r>
    </w:p>
    <w:p>
      <w:pPr>
        <w:spacing w:before="80" w:after="120"/>
        <w:jc w:val="center"/>
      </w:pPr>
      <w:r>
        <w:rPr>
          <w:rFonts w:ascii="Cambria Math" w:hAnsi="Cambria Math"/>
          <w:i/>
          <w:sz w:val="22"/>
        </w:rPr>
        <w:t>\mathcal{D}_j = \langle \mathcal{E}_j, \hat{y}_j, \hat{P}(Y = \hat{y}_j \mid \mathbf{x}_j), \mathbf{\Phi}_j, \mathcal{R}_j, \mathcal{T}_j, \mathcal{A}_j \rangle</w:t>
      </w:r>
    </w:p>
    <w:p>
      <w:pPr>
        <w:spacing w:after="120" w:line="276" w:lineRule="auto"/>
      </w:pPr>
      <w:r>
        <w:rPr>
          <w:sz w:val="21"/>
        </w:rPr>
        <w:t>where:</w:t>
      </w:r>
    </w:p>
    <w:p>
      <w:pPr>
        <w:spacing w:after="120" w:line="276" w:lineRule="auto"/>
      </w:pPr>
      <w:r>
        <w:rPr>
          <w:sz w:val="21"/>
        </w:rPr>
        <w:t>* \mathcal{E}_j: Spatiotemporal cluster of raw detections s_i \in \mathcal{E}_j;</w:t>
      </w:r>
    </w:p>
    <w:p>
      <w:pPr>
        <w:spacing w:after="120" w:line="276" w:lineRule="auto"/>
      </w:pPr>
      <w:r>
        <w:rPr>
          <w:sz w:val="21"/>
        </w:rPr>
        <w:t>* \hat{y}_j \in \mathcal{C}: Predicted source attribution class (\mathcal{C} = \{\text{Industrial Fire}, \text{Gas Flare}, \text{Forest Fire}, \text{Agricultural Burning}, \text{Mining Activity}, \text{Other Thermal Source}\});</w:t>
      </w:r>
    </w:p>
    <w:p>
      <w:pPr>
        <w:spacing w:after="120" w:line="276" w:lineRule="auto"/>
      </w:pPr>
      <w:r>
        <w:rPr>
          <w:sz w:val="21"/>
        </w:rPr>
        <w:t>* \hat{P}(Y = \hat{y}_j \mid \mathbf{x}_j) \in [0, 1]: Calibrated class posterior probability under feature vector \mathbf{x}_j;</w:t>
      </w:r>
    </w:p>
    <w:p>
      <w:pPr>
        <w:spacing w:after="120" w:line="276" w:lineRule="auto"/>
      </w:pPr>
      <w:r>
        <w:rPr>
          <w:sz w:val="21"/>
        </w:rPr>
        <w:t>* \mathbf{\Phi}_j = \{ \phi_{j,1}, \dots, \phi_{j,K} \}: Local SHAP feature attribution vector quantifying model rationale;</w:t>
      </w:r>
    </w:p>
    <w:p>
      <w:pPr>
        <w:spacing w:after="120" w:line="276" w:lineRule="auto"/>
      </w:pPr>
      <w:r>
        <w:rPr>
          <w:sz w:val="21"/>
        </w:rPr>
        <w:t>* \mathcal{R}_j \in [0, 100]: Multi-factor composite hazard risk score;</w:t>
      </w:r>
    </w:p>
    <w:p>
      <w:pPr>
        <w:spacing w:after="120" w:line="276" w:lineRule="auto"/>
      </w:pPr>
      <w:r>
        <w:rPr>
          <w:sz w:val="21"/>
        </w:rPr>
        <w:t>* \mathcal{T}_j \in \{\text{Tier 1 (Autonomous)}, \text{Tier 2 (Analyst Review)}, \text{Tier 3 (Active Learning)}\}: Human-in-the-Loop operational routing tier;</w:t>
      </w:r>
    </w:p>
    <w:p>
      <w:pPr>
        <w:spacing w:after="120" w:line="276" w:lineRule="auto"/>
      </w:pPr>
      <w:r>
        <w:rPr>
          <w:sz w:val="21"/>
        </w:rPr>
        <w:t>* \mathcal{A}_j: 7-layer spatial evidence dossier verifying multi-source database proximity and regulatory context.</w:t>
      </w:r>
    </w:p>
    <w:p>
      <w:pPr>
        <w:spacing w:after="120" w:line="276" w:lineRule="auto"/>
      </w:pPr>
      <w:r>
        <w:rPr>
          <w:sz w:val="21"/>
        </w:rPr>
        <w:t>Crucially, this derivation must satisfy four non-negotiable operational invariants:</w:t>
      </w:r>
    </w:p>
    <w:p>
      <w:pPr>
        <w:spacing w:after="120" w:line="276" w:lineRule="auto"/>
      </w:pPr>
      <w:r>
        <w:rPr>
          <w:sz w:val="21"/>
        </w:rPr>
        <w:t>1. Temporal Causality (Anti-Leakage): Feature extraction for event \mathcal{E}_j at timestamp t_{\text{event}} must only evaluate historical data where t_{\text{obs}} &lt; t_{\text{event}}.</w:t>
      </w:r>
    </w:p>
    <w:p>
      <w:pPr>
        <w:spacing w:after="120" w:line="276" w:lineRule="auto"/>
      </w:pPr>
      <w:r>
        <w:rPr>
          <w:sz w:val="21"/>
        </w:rPr>
        <w:t>2. Probability Calibration: Output probabilities must accurately reflect true empirical frequencies (\mathbb{E}[Y \mid \hat{P} = p] = p) to support calibrated thresholding.</w:t>
      </w:r>
    </w:p>
    <w:p>
      <w:pPr>
        <w:spacing w:after="120" w:line="276" w:lineRule="auto"/>
      </w:pPr>
      <w:r>
        <w:rPr>
          <w:sz w:val="21"/>
        </w:rPr>
        <w:t>3. Auditability &amp; Explainability: Every classification and risk score must be transparently decomposed into physical and geospatial attributions.</w:t>
      </w:r>
    </w:p>
    <w:p>
      <w:pPr>
        <w:spacing w:after="120" w:line="276" w:lineRule="auto"/>
      </w:pPr>
      <w:r>
        <w:rPr>
          <w:sz w:val="21"/>
        </w:rPr>
        <w:t>4. Authoritative Data Integrity: No synthetic coordinates, fabricated layers, or speculative entity records may be introduced.</w:t>
      </w:r>
    </w:p>
    <w:p>
      <w:pPr>
        <w:pStyle w:val="Heading1"/>
        <w:spacing w:before="360" w:after="160"/>
      </w:pPr>
      <w:r>
        <w:t>3. Motivation and Need</w:t>
      </w:r>
    </w:p>
    <w:p>
      <w:pPr>
        <w:spacing w:after="120" w:line="276" w:lineRule="auto"/>
      </w:pPr>
      <w:r>
        <w:rPr>
          <w:sz w:val="21"/>
        </w:rPr>
        <w:t>India's geography is characterized by intricate spatial intermingling between heavy industry, dense rural settlements, commercial agriculture, and fragile ecological biomes. For example:</w:t>
      </w:r>
    </w:p>
    <w:p>
      <w:pPr>
        <w:spacing w:after="120" w:line="276" w:lineRule="auto"/>
      </w:pPr>
      <w:r>
        <w:rPr>
          <w:sz w:val="21"/>
        </w:rPr>
        <w:t>* In the Chhota Nagpur Plateau (Jharkhand, Odisha, Chhattisgarh), high-density coal mining, thermal power generation, and steel production operate adjacent to dense Sal forest ecosystems.</w:t>
      </w:r>
    </w:p>
    <w:p>
      <w:pPr>
        <w:spacing w:after="120" w:line="276" w:lineRule="auto"/>
      </w:pPr>
      <w:r>
        <w:rPr>
          <w:sz w:val="21"/>
        </w:rPr>
        <w:t>* In the Indo-Gangetic Basin (Punjab, Haryana, Uttar Pradesh), high-intensity seasonal crop residue burning coincides with dense industrial corridors and major metropolitan populations.</w:t>
      </w:r>
    </w:p>
    <w:p>
      <w:pPr>
        <w:spacing w:after="120" w:line="276" w:lineRule="auto"/>
      </w:pPr>
      <w:r>
        <w:rPr>
          <w:sz w:val="21"/>
        </w:rPr>
        <w:t>* In the Western Industrial Belt (Gujarat, Maharashtra), major petrochemical refineries and chemical manufacturing clusters operate within coastal mangrove and riverine environments.</w:t>
      </w:r>
    </w:p>
    <w:p>
      <w:pPr>
        <w:spacing w:after="120" w:line="276" w:lineRule="auto"/>
      </w:pPr>
      <w:r>
        <w:rPr>
          <w:sz w:val="21"/>
        </w:rPr>
        <w:t>Existing commercial and open-source fire monitoring systems present major operational deficiencies when applied in this complex setting:</w:t>
      </w:r>
    </w:p>
    <w:p>
      <w:pPr>
        <w:spacing w:after="120" w:line="276" w:lineRule="auto"/>
      </w:pPr>
      <w:r>
        <w:rPr>
          <w:sz w:val="21"/>
        </w:rPr>
        <w:t>1. Lack of Industrial Context: Standard fire maps treat all thermal pixels identically, causing false alarms on licensed refinery flaring while missing uncontained industrial blazes.</w:t>
      </w:r>
    </w:p>
    <w:p>
      <w:pPr>
        <w:spacing w:after="120" w:line="276" w:lineRule="auto"/>
      </w:pPr>
      <w:r>
        <w:rPr>
          <w:sz w:val="21"/>
        </w:rPr>
        <w:t>2. Absence of Risk Prioritization: Emergency agencies cannot distinguish between an isolated 5 MW agricultural fire in an open field and a 15 MW fire located 200 meters from a liquefied petroleum gas (LPG) terminal or within a Tiger Reserve Eco-Sensitive Zone (ESZ).</w:t>
      </w:r>
    </w:p>
    <w:p>
      <w:pPr>
        <w:spacing w:after="120" w:line="276" w:lineRule="auto"/>
      </w:pPr>
      <w:r>
        <w:rPr>
          <w:sz w:val="21"/>
        </w:rPr>
        <w:t>3. Uncalibrated Model Predictions: Standard machine-learning models output overconfident probability scores on out-of-distribution inputs, leading to operational mistrust.</w:t>
      </w:r>
    </w:p>
    <w:p>
      <w:pPr>
        <w:spacing w:after="120" w:line="276" w:lineRule="auto"/>
      </w:pPr>
      <w:r>
        <w:rPr>
          <w:sz w:val="21"/>
        </w:rPr>
        <w:t>4. Alert Fatigue: Flooding emergency dispatch centers with raw alerts leads to ignored notifications and operational failure.</w:t>
      </w:r>
    </w:p>
    <w:p>
      <w:pPr>
        <w:spacing w:after="120" w:line="276" w:lineRule="auto"/>
      </w:pPr>
      <w:r>
        <w:rPr>
          <w:sz w:val="21"/>
        </w:rPr>
        <w:t>AGNI-NETRA overcomes these challenges by unifying multi-agency spatial data into a single coherent reasoning engine.</w:t>
      </w:r>
    </w:p>
    <w:p>
      <w:pPr>
        <w:pStyle w:val="Heading1"/>
        <w:spacing w:before="360" w:after="160"/>
      </w:pPr>
      <w:r>
        <w:t>4. Research Objectives</w:t>
      </w:r>
    </w:p>
    <w:p>
      <w:pPr>
        <w:spacing w:after="120" w:line="276" w:lineRule="auto"/>
      </w:pPr>
      <w:r>
        <w:rPr>
          <w:sz w:val="21"/>
        </w:rPr>
        <w:t>The AGNI-NETRA engineering and research initiative was governed by twelve primary objectives:</w:t>
      </w:r>
    </w:p>
    <w:p>
      <w:pPr>
        <w:spacing w:after="120" w:line="276" w:lineRule="auto"/>
      </w:pPr>
      <w:r>
        <w:rPr>
          <w:sz w:val="21"/>
        </w:rPr>
        <w:t>1. Multi-Source Data Ingestion &amp; Engineering: Build an automated ingestion pipeline capable of validating, deduplicating, and archiving continental satellite thermal streams alongside authoritative national registries.</w:t>
      </w:r>
    </w:p>
    <w:p>
      <w:pPr>
        <w:spacing w:after="120" w:line="276" w:lineRule="auto"/>
      </w:pPr>
      <w:r>
        <w:rPr>
          <w:sz w:val="21"/>
        </w:rPr>
        <w:t>2. High-Performance Spatial Database: Architect a PostgreSQL 16 / PostGIS 3.4 relational spatial engine configured for sub-100ms bounding-box queries across 8+ million rows.</w:t>
      </w:r>
    </w:p>
    <w:p>
      <w:pPr>
        <w:spacing w:after="120" w:line="276" w:lineRule="auto"/>
      </w:pPr>
      <w:r>
        <w:rPr>
          <w:sz w:val="21"/>
        </w:rPr>
        <w:t>3. Spatiotemporal Event Clustering: Formulate an incremental DBSCAN algorithm that groups fragmented satellite detections into coherent thermal events.</w:t>
      </w:r>
    </w:p>
    <w:p>
      <w:pPr>
        <w:spacing w:after="120" w:line="276" w:lineRule="auto"/>
      </w:pPr>
      <w:r>
        <w:rPr>
          <w:sz w:val="21"/>
        </w:rPr>
        <w:t>4. Point-in-Time Feature Engineering: Develop a 26-dimensional spatial and physical feature set mathematically guaranteed against temporal lookahead bias.</w:t>
      </w:r>
    </w:p>
    <w:p>
      <w:pPr>
        <w:spacing w:after="120" w:line="276" w:lineRule="auto"/>
      </w:pPr>
      <w:r>
        <w:rPr>
          <w:sz w:val="21"/>
        </w:rPr>
        <w:t>5. Multi-Class Source Classification: Train and evaluate competitive machine-learning models (XGBoost, Random Forest) across six thermal source categories using strict spatial and chronological validation.</w:t>
      </w:r>
    </w:p>
    <w:p>
      <w:pPr>
        <w:spacing w:after="120" w:line="276" w:lineRule="auto"/>
      </w:pPr>
      <w:r>
        <w:rPr>
          <w:sz w:val="21"/>
        </w:rPr>
        <w:t>6. Rigorous Probability Calibration: Implement and validate parametric and non-parametric calibrators (Platt Scaling, Temperature Scaling, Isotonic Regression) to align model confidence with empirical reality.</w:t>
      </w:r>
    </w:p>
    <w:p>
      <w:pPr>
        <w:spacing w:after="120" w:line="276" w:lineRule="auto"/>
      </w:pPr>
      <w:r>
        <w:rPr>
          <w:sz w:val="21"/>
        </w:rPr>
        <w:t>7. Local Model Explainability: Integrate TreeExplainer SHAP to provide operators with exact feature contribution waterfalls for every prediction.</w:t>
      </w:r>
    </w:p>
    <w:p>
      <w:pPr>
        <w:spacing w:after="120" w:line="276" w:lineRule="auto"/>
      </w:pPr>
      <w:r>
        <w:rPr>
          <w:sz w:val="21"/>
        </w:rPr>
        <w:t>8. Multi-Factor Risk Modeling: Formulate a composite 0–100 fire risk engine incorporating thermal intensity, asset vulnerability, and ecological sensitivity.</w:t>
      </w:r>
    </w:p>
    <w:p>
      <w:pPr>
        <w:spacing w:after="120" w:line="276" w:lineRule="auto"/>
      </w:pPr>
      <w:r>
        <w:rPr>
          <w:sz w:val="21"/>
        </w:rPr>
        <w:t>9. Tri-Tier Human-in-the-Loop Architecture: Design an uncertainty-aware routing mechanism that guarantees &gt;95\% selective accuracy on autonomous decisions while escalating edge cases.</w:t>
      </w:r>
    </w:p>
    <w:p>
      <w:pPr>
        <w:spacing w:after="120" w:line="276" w:lineRule="auto"/>
      </w:pPr>
      <w:r>
        <w:rPr>
          <w:sz w:val="21"/>
        </w:rPr>
        <w:t>10. Drift Detection &amp; Remediation: Establish a continuous monitoring framework using Population Stability Index (PSI) and Kolmogorov-Smirnov (KS) tests to detect and resolve feature distribution shifts.</w:t>
      </w:r>
    </w:p>
    <w:p>
      <w:pPr>
        <w:spacing w:after="120" w:line="276" w:lineRule="auto"/>
      </w:pPr>
      <w:r>
        <w:rPr>
          <w:sz w:val="21"/>
        </w:rPr>
        <w:t>11. Scalable National Command Center: Develop a responsive, WebGL-accelerated GIS frontend (Next.js 15, MapLibre GL) supporting multi-layer visualization and 7-layer investigation dossiers.</w:t>
      </w:r>
    </w:p>
    <w:p>
      <w:pPr>
        <w:spacing w:after="120" w:line="276" w:lineRule="auto"/>
      </w:pPr>
      <w:r>
        <w:rPr>
          <w:sz w:val="21"/>
        </w:rPr>
        <w:t>12. Operational Governance &amp; Safety Isolation: Implement strict dispatch gates, model registries, automated backup/recovery mechanisms, and audit logging to ensure production safety.</w:t>
      </w:r>
    </w:p>
    <w:p>
      <w:pPr>
        <w:pStyle w:val="Heading1"/>
        <w:spacing w:before="360" w:after="160"/>
      </w:pPr>
      <w:r>
        <w:t>5. Proposed AGNI-NETRA System</w:t>
      </w:r>
    </w:p>
    <w:p>
      <w:pPr>
        <w:spacing w:after="120" w:line="276" w:lineRule="auto"/>
      </w:pPr>
      <w:r>
        <w:rPr>
          <w:sz w:val="21"/>
        </w:rPr>
        <w:t>AGNI-NETRA is structured as a six-tier modular platform:</w:t>
      </w:r>
    </w:p>
    <w:p>
      <w:pPr>
        <w:spacing w:after="120" w:line="276" w:lineRule="auto"/>
      </w:pPr>
      <w:r>
        <w:rPr>
          <w:sz w:val="21"/>
        </w:rPr>
        <w:t>[ Tier 1: Multi-Source Space &amp; Ground Data Streams ]</w:t>
      </w:r>
    </w:p>
    <w:p>
      <w:pPr>
        <w:spacing w:after="120" w:line="276" w:lineRule="auto"/>
      </w:pPr>
      <w:r>
        <w:rPr>
          <w:sz w:val="21"/>
        </w:rPr>
        <w:t>↓</w:t>
      </w:r>
    </w:p>
    <w:p>
      <w:pPr>
        <w:spacing w:after="120" w:line="276" w:lineRule="auto"/>
      </w:pPr>
      <w:r>
        <w:rPr>
          <w:sz w:val="21"/>
        </w:rPr>
        <w:t>[ Tier 2: PostGIS Geospatial Knowledge Base (EPSG:4326) ]</w:t>
      </w:r>
    </w:p>
    <w:p>
      <w:pPr>
        <w:spacing w:after="120" w:line="276" w:lineRule="auto"/>
      </w:pPr>
      <w:r>
        <w:rPr>
          <w:sz w:val="21"/>
        </w:rPr>
        <w:t>↓</w:t>
      </w:r>
    </w:p>
    <w:p>
      <w:pPr>
        <w:spacing w:after="120" w:line="276" w:lineRule="auto"/>
      </w:pPr>
      <w:r>
        <w:rPr>
          <w:sz w:val="21"/>
        </w:rPr>
        <w:t>[ Tier 3: Incremental Spatiotemporal Clustering &amp; Feature Engine ]</w:t>
      </w:r>
    </w:p>
    <w:p>
      <w:pPr>
        <w:spacing w:after="120" w:line="276" w:lineRule="auto"/>
      </w:pPr>
      <w:r>
        <w:rPr>
          <w:sz w:val="21"/>
        </w:rPr>
        <w:t>↓</w:t>
      </w:r>
    </w:p>
    <w:p>
      <w:pPr>
        <w:spacing w:after="120" w:line="276" w:lineRule="auto"/>
      </w:pPr>
      <w:r>
        <w:rPr>
          <w:sz w:val="21"/>
        </w:rPr>
        <w:t>[ Tier 4: Calibrated Machine Learning &amp; Risk Intelligence ]</w:t>
      </w:r>
    </w:p>
    <w:p>
      <w:pPr>
        <w:spacing w:after="120" w:line="276" w:lineRule="auto"/>
      </w:pPr>
      <w:r>
        <w:rPr>
          <w:sz w:val="21"/>
        </w:rPr>
        <w:t>↓</w:t>
      </w:r>
    </w:p>
    <w:p>
      <w:pPr>
        <w:spacing w:after="120" w:line="276" w:lineRule="auto"/>
      </w:pPr>
      <w:r>
        <w:rPr>
          <w:sz w:val="21"/>
        </w:rPr>
        <w:t>[ Tier 5: Tri-Tier Human-in-the-Loop Decision &amp; Safety Gate ]</w:t>
      </w:r>
    </w:p>
    <w:p>
      <w:pPr>
        <w:spacing w:after="120" w:line="276" w:lineRule="auto"/>
      </w:pPr>
      <w:r>
        <w:rPr>
          <w:sz w:val="21"/>
        </w:rPr>
        <w:t>↓</w:t>
      </w:r>
    </w:p>
    <w:p>
      <w:pPr>
        <w:spacing w:after="120" w:line="276" w:lineRule="auto"/>
      </w:pPr>
      <w:r>
        <w:rPr>
          <w:sz w:val="21"/>
        </w:rPr>
        <w:t>[ Tier 6: National Command Center &amp; 7-Layer Investigation UI ]</w:t>
      </w:r>
    </w:p>
    <w:p>
      <w:pPr>
        <w:spacing w:after="120" w:line="276" w:lineRule="auto"/>
      </w:pPr>
      <w:r>
        <w:rPr>
          <w:sz w:val="21"/>
        </w:rPr>
        <w:t>Each tier operates under strict interface contracts, isolation boundaries, and fail-safe defaults.</w:t>
      </w:r>
    </w:p>
    <w:p>
      <w:pPr>
        <w:pStyle w:val="Heading1"/>
        <w:spacing w:before="360" w:after="160"/>
      </w:pPr>
      <w:r>
        <w:t>6. System Architecture</w:t>
      </w:r>
    </w:p>
    <w:p>
      <w:pPr>
        <w:spacing w:after="120" w:line="276" w:lineRule="auto"/>
      </w:pPr>
      <w:r>
        <w:rPr>
          <w:sz w:val="21"/>
        </w:rPr>
        <w:t>The overall system architecture is illustrated below:</w:t>
      </w:r>
    </w:p>
    <w:p>
      <w:pPr>
        <w:spacing w:after="120" w:line="276" w:lineRule="auto"/>
      </w:pPr>
      <w:r>
        <w:rPr>
          <w:sz w:val="21"/>
        </w:rPr>
        <w:t>graph TB</w:t>
      </w:r>
    </w:p>
    <w:p>
      <w:pPr>
        <w:spacing w:after="120" w:line="276" w:lineRule="auto"/>
      </w:pPr>
      <w:r>
        <w:rPr>
          <w:sz w:val="21"/>
        </w:rPr>
        <w:t>subgraph INGESTION_TIER["1. Ingestion &amp; Preprocessing"]</w:t>
      </w:r>
    </w:p>
    <w:p>
      <w:pPr>
        <w:spacing w:after="120" w:line="276" w:lineRule="auto"/>
      </w:pPr>
      <w:r>
        <w:rPr>
          <w:sz w:val="21"/>
        </w:rPr>
        <w:t>S_FIRMS["NASA FIRMS Telemetry&lt;br/&gt;(VIIRS SNPP/NOAA-20/21, MODIS)"]</w:t>
      </w:r>
    </w:p>
    <w:p>
      <w:pPr>
        <w:spacing w:after="120" w:line="276" w:lineRule="auto"/>
      </w:pPr>
      <w:r>
        <w:rPr>
          <w:sz w:val="21"/>
        </w:rPr>
        <w:t>W_INGEST["Ingestion Worker&lt;br/&gt;(Validation, Deduplication)"]</w:t>
      </w:r>
    </w:p>
    <w:p>
      <w:pPr>
        <w:spacing w:after="120" w:line="276" w:lineRule="auto"/>
      </w:pPr>
      <w:r>
        <w:rPr>
          <w:sz w:val="21"/>
        </w:rPr>
        <w:t>S_FIRMS --&gt; W_INGEST</w:t>
      </w:r>
    </w:p>
    <w:p>
      <w:pPr>
        <w:spacing w:after="120" w:line="276" w:lineRule="auto"/>
      </w:pPr>
      <w:r>
        <w:rPr>
          <w:sz w:val="21"/>
        </w:rPr>
        <w:t>end</w:t>
      </w:r>
    </w:p>
    <w:p>
      <w:pPr>
        <w:spacing w:after="120" w:line="276" w:lineRule="auto"/>
      </w:pPr>
      <w:r>
        <w:rPr>
          <w:sz w:val="21"/>
        </w:rPr>
        <w:t>subgraph STORAGE_TIER["2. PostgreSQL 16 + PostGIS 3.4 Spatial Database"]</w:t>
      </w:r>
    </w:p>
    <w:p>
      <w:pPr>
        <w:spacing w:after="120" w:line="276" w:lineRule="auto"/>
      </w:pPr>
      <w:r>
        <w:rPr>
          <w:sz w:val="21"/>
        </w:rPr>
        <w:t>T_DET[("thermal_detections&lt;br/&gt;(8,221,825+ records)")]</w:t>
      </w:r>
    </w:p>
    <w:p>
      <w:pPr>
        <w:spacing w:after="120" w:line="276" w:lineRule="auto"/>
      </w:pPr>
      <w:r>
        <w:rPr>
          <w:sz w:val="21"/>
        </w:rPr>
        <w:t>T_EVT[("thermal_events&lt;br/&gt;(215 active events)")]</w:t>
      </w:r>
    </w:p>
    <w:p>
      <w:pPr>
        <w:spacing w:after="120" w:line="276" w:lineRule="auto"/>
      </w:pPr>
      <w:r>
        <w:rPr>
          <w:sz w:val="21"/>
        </w:rPr>
        <w:t>T_FAC[("industrial_facilities&lt;br/&gt;(35,684 records)")]</w:t>
      </w:r>
    </w:p>
    <w:p>
      <w:pPr>
        <w:spacing w:after="120" w:line="276" w:lineRule="auto"/>
      </w:pPr>
      <w:r>
        <w:rPr>
          <w:sz w:val="21"/>
        </w:rPr>
        <w:t>T_POW[("cea_power_stations&lt;br/&gt;(1,633 records)")]</w:t>
      </w:r>
    </w:p>
    <w:p>
      <w:pPr>
        <w:spacing w:after="120" w:line="276" w:lineRule="auto"/>
      </w:pPr>
      <w:r>
        <w:rPr>
          <w:sz w:val="21"/>
        </w:rPr>
        <w:t>T_MIN[("ibm_mining_leases&lt;br/&gt;(98,793 records)")]</w:t>
      </w:r>
    </w:p>
    <w:p>
      <w:pPr>
        <w:spacing w:after="120" w:line="276" w:lineRule="auto"/>
      </w:pPr>
      <w:r>
        <w:rPr>
          <w:sz w:val="21"/>
        </w:rPr>
        <w:t>T_PA[("protected_areas&lt;br/&gt;(11 polygons)")]</w:t>
      </w:r>
    </w:p>
    <w:p>
      <w:pPr>
        <w:spacing w:after="120" w:line="276" w:lineRule="auto"/>
      </w:pPr>
      <w:r>
        <w:rPr>
          <w:sz w:val="21"/>
        </w:rPr>
        <w:t>T_LULC[("lulc_spatial_features&lt;br/&gt;(15 classes)")]</w:t>
      </w:r>
    </w:p>
    <w:p>
      <w:pPr>
        <w:spacing w:after="120" w:line="276" w:lineRule="auto"/>
      </w:pPr>
      <w:r>
        <w:rPr>
          <w:sz w:val="21"/>
        </w:rPr>
        <w:t>T_ADM[("admin_boundaries&lt;br/&gt;(36 States, 736 Districts)")]</w:t>
      </w:r>
    </w:p>
    <w:p>
      <w:pPr>
        <w:spacing w:after="120" w:line="276" w:lineRule="auto"/>
      </w:pPr>
      <w:r>
        <w:rPr>
          <w:sz w:val="21"/>
        </w:rPr>
        <w:t>W_INGEST --&gt; T_DET</w:t>
      </w:r>
    </w:p>
    <w:p>
      <w:pPr>
        <w:spacing w:after="120" w:line="276" w:lineRule="auto"/>
      </w:pPr>
      <w:r>
        <w:rPr>
          <w:sz w:val="21"/>
        </w:rPr>
        <w:t>T_DET --&gt; T_EVT</w:t>
      </w:r>
    </w:p>
    <w:p>
      <w:pPr>
        <w:spacing w:after="120" w:line="276" w:lineRule="auto"/>
      </w:pPr>
      <w:r>
        <w:rPr>
          <w:sz w:val="21"/>
        </w:rPr>
        <w:t>end</w:t>
      </w:r>
    </w:p>
    <w:p>
      <w:pPr>
        <w:spacing w:after="120" w:line="276" w:lineRule="auto"/>
      </w:pPr>
      <w:r>
        <w:rPr>
          <w:sz w:val="21"/>
        </w:rPr>
        <w:t>subgraph ANALYTICS_TIER["3. Spatiotemporal &amp; Feature Engine"]</w:t>
      </w:r>
    </w:p>
    <w:p>
      <w:pPr>
        <w:spacing w:after="120" w:line="276" w:lineRule="auto"/>
      </w:pPr>
      <w:r>
        <w:rPr>
          <w:sz w:val="21"/>
        </w:rPr>
        <w:t>E_DBSCAN["Incremental DBSCAN&lt;br/&gt;(eps=0.015 deg, min_samples=3)"]</w:t>
      </w:r>
    </w:p>
    <w:p>
      <w:pPr>
        <w:spacing w:after="120" w:line="276" w:lineRule="auto"/>
      </w:pPr>
      <w:r>
        <w:rPr>
          <w:sz w:val="21"/>
        </w:rPr>
        <w:t>E_FEAT["Point-in-Time Feature Pipeline&lt;br/&gt;(26 Features, t_obs &lt; t_event)"]</w:t>
      </w:r>
    </w:p>
    <w:p>
      <w:pPr>
        <w:spacing w:after="120" w:line="276" w:lineRule="auto"/>
      </w:pPr>
      <w:r>
        <w:rPr>
          <w:sz w:val="21"/>
        </w:rPr>
        <w:t>T_EVT --&gt; E_DBSCAN</w:t>
      </w:r>
    </w:p>
    <w:p>
      <w:pPr>
        <w:spacing w:after="120" w:line="276" w:lineRule="auto"/>
      </w:pPr>
      <w:r>
        <w:rPr>
          <w:sz w:val="21"/>
        </w:rPr>
        <w:t>E_DBSCAN --&gt; E_FEAT</w:t>
      </w:r>
    </w:p>
    <w:p>
      <w:pPr>
        <w:spacing w:after="120" w:line="276" w:lineRule="auto"/>
      </w:pPr>
      <w:r>
        <w:rPr>
          <w:sz w:val="21"/>
        </w:rPr>
        <w:t>T_FAC &amp; T_POW &amp; T_MIN &amp; T_PA &amp; T_LULC &amp; T_ADM --&gt; E_FEAT</w:t>
      </w:r>
    </w:p>
    <w:p>
      <w:pPr>
        <w:spacing w:after="120" w:line="276" w:lineRule="auto"/>
      </w:pPr>
      <w:r>
        <w:rPr>
          <w:sz w:val="21"/>
        </w:rPr>
        <w:t>end</w:t>
      </w:r>
    </w:p>
    <w:p>
      <w:pPr>
        <w:spacing w:after="120" w:line="276" w:lineRule="auto"/>
      </w:pPr>
      <w:r>
        <w:rPr>
          <w:sz w:val="21"/>
        </w:rPr>
        <w:t>subgraph INFERENCE_TIER["4. Machine Learning &amp; Risk Subsystem"]</w:t>
      </w:r>
    </w:p>
    <w:p>
      <w:pPr>
        <w:spacing w:after="120" w:line="276" w:lineRule="auto"/>
      </w:pPr>
      <w:r>
        <w:rPr>
          <w:sz w:val="21"/>
        </w:rPr>
        <w:t>M_XGB["XGBoost v3.0 Candidate&lt;br/&gt;(Multi-Class Classifier)"]</w:t>
      </w:r>
    </w:p>
    <w:p>
      <w:pPr>
        <w:spacing w:after="120" w:line="276" w:lineRule="auto"/>
      </w:pPr>
      <w:r>
        <w:rPr>
          <w:sz w:val="21"/>
        </w:rPr>
        <w:t>M_CALIB["Balanced Platt Calibrator&lt;br/&gt;(ECE: 0.1294, Log-Loss: 0.7124)"]</w:t>
      </w:r>
    </w:p>
    <w:p>
      <w:pPr>
        <w:spacing w:after="120" w:line="276" w:lineRule="auto"/>
      </w:pPr>
      <w:r>
        <w:rPr>
          <w:sz w:val="21"/>
        </w:rPr>
        <w:t>M_SHAP["TreeExplainer SHAP&lt;br/&gt;(Local Feature Attribution)"]</w:t>
      </w:r>
    </w:p>
    <w:p>
      <w:pPr>
        <w:spacing w:after="120" w:line="276" w:lineRule="auto"/>
      </w:pPr>
      <w:r>
        <w:rPr>
          <w:sz w:val="21"/>
        </w:rPr>
        <w:t>M_RISK["Multi-Factor Risk Engine&lt;br/&gt;(Intensity, Asset, Ecology)"]</w:t>
      </w:r>
    </w:p>
    <w:p>
      <w:pPr>
        <w:spacing w:after="120" w:line="276" w:lineRule="auto"/>
      </w:pPr>
      <w:r>
        <w:rPr>
          <w:sz w:val="21"/>
        </w:rPr>
        <w:t>E_FEAT --&gt; M_XGB</w:t>
      </w:r>
    </w:p>
    <w:p>
      <w:pPr>
        <w:spacing w:after="120" w:line="276" w:lineRule="auto"/>
      </w:pPr>
      <w:r>
        <w:rPr>
          <w:sz w:val="21"/>
        </w:rPr>
        <w:t>M_XGB --&gt; M_CALIB</w:t>
      </w:r>
    </w:p>
    <w:p>
      <w:pPr>
        <w:spacing w:after="120" w:line="276" w:lineRule="auto"/>
      </w:pPr>
      <w:r>
        <w:rPr>
          <w:sz w:val="21"/>
        </w:rPr>
        <w:t>M_CALIB --&gt; M_SHAP</w:t>
      </w:r>
    </w:p>
    <w:p>
      <w:pPr>
        <w:spacing w:after="120" w:line="276" w:lineRule="auto"/>
      </w:pPr>
      <w:r>
        <w:rPr>
          <w:sz w:val="21"/>
        </w:rPr>
        <w:t>M_CALIB --&gt; M_RISK</w:t>
      </w:r>
    </w:p>
    <w:p>
      <w:pPr>
        <w:spacing w:after="120" w:line="276" w:lineRule="auto"/>
      </w:pPr>
      <w:r>
        <w:rPr>
          <w:sz w:val="21"/>
        </w:rPr>
        <w:t>M_SHAP --&gt; M_RISK</w:t>
      </w:r>
    </w:p>
    <w:p>
      <w:pPr>
        <w:spacing w:after="120" w:line="276" w:lineRule="auto"/>
      </w:pPr>
      <w:r>
        <w:rPr>
          <w:sz w:val="21"/>
        </w:rPr>
        <w:t>end</w:t>
      </w:r>
    </w:p>
    <w:p>
      <w:pPr>
        <w:spacing w:after="120" w:line="276" w:lineRule="auto"/>
      </w:pPr>
      <w:r>
        <w:rPr>
          <w:sz w:val="21"/>
        </w:rPr>
        <w:t>subgraph GOVERNANCE_TIER["5. Tri-Tier Decision Support &amp; Safety Gate"]</w:t>
      </w:r>
    </w:p>
    <w:p>
      <w:pPr>
        <w:spacing w:after="120" w:line="276" w:lineRule="auto"/>
      </w:pPr>
      <w:r>
        <w:rPr>
          <w:sz w:val="21"/>
        </w:rPr>
        <w:t>R_ROUTER{"Tri-Tier Decision Router"}</w:t>
      </w:r>
    </w:p>
    <w:p>
      <w:pPr>
        <w:spacing w:after="120" w:line="276" w:lineRule="auto"/>
      </w:pPr>
      <w:r>
        <w:rPr>
          <w:sz w:val="21"/>
        </w:rPr>
        <w:t>G_T1["Tier 1: High Confidence&lt;br/&gt;(Selective Acc: 97.18%)"]</w:t>
      </w:r>
    </w:p>
    <w:p>
      <w:pPr>
        <w:spacing w:after="120" w:line="276" w:lineRule="auto"/>
      </w:pPr>
      <w:r>
        <w:rPr>
          <w:sz w:val="21"/>
        </w:rPr>
        <w:t>G_T2["Tier 2: Analyst Review&lt;br/&gt;(7-Layer Dossier Triage)"]</w:t>
      </w:r>
    </w:p>
    <w:p>
      <w:pPr>
        <w:spacing w:after="120" w:line="276" w:lineRule="auto"/>
      </w:pPr>
      <w:r>
        <w:rPr>
          <w:sz w:val="21"/>
        </w:rPr>
        <w:t>G_T3["Tier 3: Active Learning&lt;br/&gt;(Uncertainty Queue)"]</w:t>
      </w:r>
    </w:p>
    <w:p>
      <w:pPr>
        <w:spacing w:after="120" w:line="276" w:lineRule="auto"/>
      </w:pPr>
      <w:r>
        <w:rPr>
          <w:sz w:val="21"/>
        </w:rPr>
        <w:t>G_GATE{"Operational Dispatch Gate&lt;br/&gt;(ENABLE_OPERATIONAL_DISPATCH_GATE = False)"}</w:t>
      </w:r>
    </w:p>
    <w:p>
      <w:pPr>
        <w:spacing w:after="120" w:line="276" w:lineRule="auto"/>
      </w:pPr>
      <w:r>
        <w:rPr>
          <w:sz w:val="21"/>
        </w:rPr>
        <w:t>M_RISK --&gt; R_ROUTER</w:t>
      </w:r>
    </w:p>
    <w:p>
      <w:pPr>
        <w:spacing w:after="120" w:line="276" w:lineRule="auto"/>
      </w:pPr>
      <w:r>
        <w:rPr>
          <w:sz w:val="21"/>
        </w:rPr>
        <w:t>R_ROUTER --&gt;|Conf &gt;= 0.85| G_T1</w:t>
      </w:r>
    </w:p>
    <w:p>
      <w:pPr>
        <w:spacing w:after="120" w:line="276" w:lineRule="auto"/>
      </w:pPr>
      <w:r>
        <w:rPr>
          <w:sz w:val="21"/>
        </w:rPr>
        <w:t>R_ROUTER --&gt;|0.60 &lt;= Conf &lt; 0.85| G_T2</w:t>
      </w:r>
    </w:p>
    <w:p>
      <w:pPr>
        <w:spacing w:after="120" w:line="276" w:lineRule="auto"/>
      </w:pPr>
      <w:r>
        <w:rPr>
          <w:sz w:val="21"/>
        </w:rPr>
        <w:t>R_ROUTER --&gt;|Conf &lt; 0.60| G_T3</w:t>
      </w:r>
    </w:p>
    <w:p>
      <w:pPr>
        <w:spacing w:after="120" w:line="276" w:lineRule="auto"/>
      </w:pPr>
      <w:r>
        <w:rPr>
          <w:sz w:val="21"/>
        </w:rPr>
        <w:t>G_T1 &amp; G_T2 &amp; G_T3 --&gt; G_GATE</w:t>
      </w:r>
    </w:p>
    <w:p>
      <w:pPr>
        <w:spacing w:after="120" w:line="276" w:lineRule="auto"/>
      </w:pPr>
      <w:r>
        <w:rPr>
          <w:sz w:val="21"/>
        </w:rPr>
        <w:t>G_GATE --&gt; Q_INACTIVE["Queued for In-App Analyst Review"]</w:t>
      </w:r>
    </w:p>
    <w:p>
      <w:pPr>
        <w:spacing w:after="120" w:line="276" w:lineRule="auto"/>
      </w:pPr>
      <w:r>
        <w:rPr>
          <w:sz w:val="21"/>
        </w:rPr>
        <w:t>end</w:t>
      </w:r>
    </w:p>
    <w:p>
      <w:pPr>
        <w:spacing w:after="120" w:line="276" w:lineRule="auto"/>
      </w:pPr>
      <w:r>
        <w:rPr>
          <w:sz w:val="21"/>
        </w:rPr>
        <w:t>subgraph UI_TIER["6. National Command Center (Next.js 15)"]</w:t>
      </w:r>
    </w:p>
    <w:p>
      <w:pPr>
        <w:spacing w:after="120" w:line="276" w:lineRule="auto"/>
      </w:pPr>
      <w:r>
        <w:rPr>
          <w:sz w:val="21"/>
        </w:rPr>
        <w:t>UI_MAP["MapLibre GL Vector Map&lt;br/&gt;(8 Spatial Vector Layers)"]</w:t>
      </w:r>
    </w:p>
    <w:p>
      <w:pPr>
        <w:spacing w:after="120" w:line="276" w:lineRule="auto"/>
      </w:pPr>
      <w:r>
        <w:rPr>
          <w:sz w:val="21"/>
        </w:rPr>
        <w:t>UI_DOSSIER["7-Layer Investigation Dossier"]</w:t>
      </w:r>
    </w:p>
    <w:p>
      <w:pPr>
        <w:spacing w:after="120" w:line="276" w:lineRule="auto"/>
      </w:pPr>
      <w:r>
        <w:rPr>
          <w:sz w:val="21"/>
        </w:rPr>
        <w:t>UI_ALERTS["Tri-Tier Alert Review Desk"]</w:t>
      </w:r>
    </w:p>
    <w:p>
      <w:pPr>
        <w:spacing w:after="120" w:line="276" w:lineRule="auto"/>
      </w:pPr>
      <w:r>
        <w:rPr>
          <w:sz w:val="21"/>
        </w:rPr>
        <w:t>Q_INACTIVE --&gt; UI_MAP</w:t>
      </w:r>
    </w:p>
    <w:p>
      <w:pPr>
        <w:spacing w:after="120" w:line="276" w:lineRule="auto"/>
      </w:pPr>
      <w:r>
        <w:rPr>
          <w:sz w:val="21"/>
        </w:rPr>
        <w:t>Q_INACTIVE --&gt; UI_DOSSIER</w:t>
      </w:r>
    </w:p>
    <w:p>
      <w:pPr>
        <w:spacing w:after="120" w:line="276" w:lineRule="auto"/>
      </w:pPr>
      <w:r>
        <w:rPr>
          <w:sz w:val="21"/>
        </w:rPr>
        <w:t>Q_INACTIVE --&gt; UI_ALERTS</w:t>
      </w:r>
    </w:p>
    <w:p>
      <w:pPr>
        <w:spacing w:after="120" w:line="276" w:lineRule="auto"/>
      </w:pPr>
      <w:r>
        <w:rPr>
          <w:sz w:val="21"/>
        </w:rPr>
        <w:t>end</w:t>
      </w:r>
    </w:p>
    <w:p>
      <w:pPr>
        <w:pStyle w:val="Heading1"/>
        <w:spacing w:before="360" w:after="160"/>
      </w:pPr>
      <w:r>
        <w:t>7. Data Sources and Data Engineering</w:t>
      </w:r>
    </w:p>
    <w:p>
      <w:pPr>
        <w:spacing w:after="120" w:line="276" w:lineRule="auto"/>
      </w:pPr>
      <w:r>
        <w:rPr>
          <w:sz w:val="21"/>
        </w:rPr>
        <w:t>AGNI-NETRA integrates nine authoritative geospatial, industrial, regulatory, and satellite datasets: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Mar>
              <w:top w:w="120" w:type="dxa"/>
              <w:bottom w:w="120" w:type="dxa"/>
              <w:left w:w="140" w:type="dxa"/>
              <w:right w:w="140" w:type="dxa"/>
            </w:tcMar>
          </w:tcPr>
          <w:p>
            <w:pPr>
              <w:jc w:val="left"/>
            </w:pPr>
            <w:r>
              <w:rPr>
                <w:rFonts w:ascii="Calibri" w:hAnsi="Calibri"/>
                <w:b/>
                <w:color w:val="FFFFFF"/>
                <w:sz w:val="19"/>
              </w:rPr>
              <w:t>Data Source</w:t>
            </w:r>
          </w:p>
        </w:tc>
        <w:tc>
          <w:tcPr>
            <w:tcW w:type="dxa" w:w="1872"/>
            <w:shd w:fill="003366"/>
            <w:tcMar>
              <w:top w:w="120" w:type="dxa"/>
              <w:bottom w:w="120" w:type="dxa"/>
              <w:left w:w="140" w:type="dxa"/>
              <w:right w:w="140" w:type="dxa"/>
            </w:tcMar>
          </w:tcPr>
          <w:p>
            <w:pPr>
              <w:jc w:val="left"/>
            </w:pPr>
            <w:r>
              <w:rPr>
                <w:rFonts w:ascii="Calibri" w:hAnsi="Calibri"/>
                <w:b/>
                <w:color w:val="FFFFFF"/>
                <w:sz w:val="19"/>
              </w:rPr>
              <w:t>Primary Entity Type</w:t>
            </w:r>
          </w:p>
        </w:tc>
        <w:tc>
          <w:tcPr>
            <w:tcW w:type="dxa" w:w="1872"/>
            <w:shd w:fill="003366"/>
            <w:tcMar>
              <w:top w:w="120" w:type="dxa"/>
              <w:bottom w:w="120" w:type="dxa"/>
              <w:left w:w="140" w:type="dxa"/>
              <w:right w:w="140" w:type="dxa"/>
            </w:tcMar>
          </w:tcPr>
          <w:p>
            <w:pPr>
              <w:jc w:val="left"/>
            </w:pPr>
            <w:r>
              <w:rPr>
                <w:rFonts w:ascii="Calibri" w:hAnsi="Calibri"/>
                <w:b/>
                <w:color w:val="FFFFFF"/>
                <w:sz w:val="19"/>
              </w:rPr>
              <w:t>Spatial Format</w:t>
            </w:r>
          </w:p>
        </w:tc>
        <w:tc>
          <w:tcPr>
            <w:tcW w:type="dxa" w:w="1872"/>
            <w:shd w:fill="003366"/>
            <w:tcMar>
              <w:top w:w="120" w:type="dxa"/>
              <w:bottom w:w="120" w:type="dxa"/>
              <w:left w:w="140" w:type="dxa"/>
              <w:right w:w="140" w:type="dxa"/>
            </w:tcMar>
          </w:tcPr>
          <w:p>
            <w:pPr>
              <w:jc w:val="left"/>
            </w:pPr>
            <w:r>
              <w:rPr>
                <w:rFonts w:ascii="Calibri" w:hAnsi="Calibri"/>
                <w:b/>
                <w:color w:val="FFFFFF"/>
                <w:sz w:val="19"/>
              </w:rPr>
              <w:t>Record Count</w:t>
            </w:r>
          </w:p>
        </w:tc>
        <w:tc>
          <w:tcPr>
            <w:tcW w:type="dxa" w:w="2016"/>
            <w:shd w:fill="003366"/>
            <w:tcMar>
              <w:top w:w="120" w:type="dxa"/>
              <w:bottom w:w="120" w:type="dxa"/>
              <w:left w:w="140" w:type="dxa"/>
              <w:right w:w="140" w:type="dxa"/>
            </w:tcMar>
          </w:tcPr>
          <w:p>
            <w:pPr>
              <w:jc w:val="left"/>
            </w:pPr>
            <w:r>
              <w:rPr>
                <w:rFonts w:ascii="Calibri" w:hAnsi="Calibri"/>
                <w:b/>
                <w:color w:val="FFFFFF"/>
                <w:sz w:val="19"/>
              </w:rPr>
              <w:t>Operational Role</w:t>
            </w:r>
          </w:p>
        </w:tc>
      </w:tr>
      <w:tr>
        <w:tc>
          <w:tcPr>
            <w:tcW w:type="dxa" w:w="2160"/>
            <w:shd w:fill="FFFFFF"/>
            <w:tcMar>
              <w:top w:w="100" w:type="dxa"/>
              <w:bottom w:w="100" w:type="dxa"/>
              <w:left w:w="140" w:type="dxa"/>
              <w:right w:w="140" w:type="dxa"/>
            </w:tcMar>
          </w:tcPr>
          <w:p>
            <w:pPr>
              <w:jc w:val="left"/>
            </w:pPr>
            <w:r>
              <w:rPr>
                <w:rFonts w:ascii="Calibri" w:hAnsi="Calibri"/>
                <w:sz w:val="18"/>
              </w:rPr>
              <w:t>NASA FIRMS</w:t>
            </w:r>
          </w:p>
        </w:tc>
        <w:tc>
          <w:tcPr>
            <w:tcW w:type="dxa" w:w="1872"/>
            <w:shd w:fill="FFFFFF"/>
            <w:tcMar>
              <w:top w:w="100" w:type="dxa"/>
              <w:bottom w:w="100" w:type="dxa"/>
              <w:left w:w="140" w:type="dxa"/>
              <w:right w:w="140" w:type="dxa"/>
            </w:tcMar>
          </w:tcPr>
          <w:p>
            <w:pPr>
              <w:jc w:val="left"/>
            </w:pPr>
            <w:r>
              <w:rPr>
                <w:rFonts w:ascii="Calibri" w:hAnsi="Calibri"/>
                <w:sz w:val="18"/>
              </w:rPr>
              <w:t>Spaceborne Thermal Telemetry</w:t>
            </w:r>
          </w:p>
        </w:tc>
        <w:tc>
          <w:tcPr>
            <w:tcW w:type="dxa" w:w="1872"/>
            <w:shd w:fill="FFFFFF"/>
            <w:tcMar>
              <w:top w:w="100" w:type="dxa"/>
              <w:bottom w:w="100" w:type="dxa"/>
              <w:left w:w="140" w:type="dxa"/>
              <w:right w:w="140" w:type="dxa"/>
            </w:tcMar>
          </w:tcPr>
          <w:p>
            <w:pPr>
              <w:jc w:val="left"/>
            </w:pPr>
            <w:r>
              <w:rPr>
                <w:rFonts w:ascii="Calibri" w:hAnsi="Calibri"/>
                <w:sz w:val="18"/>
              </w:rPr>
              <w:t>Point Observations</w:t>
            </w:r>
          </w:p>
        </w:tc>
        <w:tc>
          <w:tcPr>
            <w:tcW w:type="dxa" w:w="1872"/>
            <w:shd w:fill="FFFFFF"/>
            <w:tcMar>
              <w:top w:w="100" w:type="dxa"/>
              <w:bottom w:w="100" w:type="dxa"/>
              <w:left w:w="140" w:type="dxa"/>
              <w:right w:w="140" w:type="dxa"/>
            </w:tcMar>
          </w:tcPr>
          <w:p>
            <w:pPr>
              <w:jc w:val="left"/>
            </w:pPr>
            <w:r>
              <w:rPr>
                <w:rFonts w:ascii="Calibri" w:hAnsi="Calibri"/>
                <w:sz w:val="18"/>
              </w:rPr>
              <w:t>8,221,825+</w:t>
            </w:r>
          </w:p>
        </w:tc>
        <w:tc>
          <w:tcPr>
            <w:tcW w:type="dxa" w:w="2016"/>
            <w:shd w:fill="FFFFFF"/>
            <w:tcMar>
              <w:top w:w="100" w:type="dxa"/>
              <w:bottom w:w="100" w:type="dxa"/>
              <w:left w:w="140" w:type="dxa"/>
              <w:right w:w="140" w:type="dxa"/>
            </w:tcMar>
          </w:tcPr>
          <w:p>
            <w:pPr>
              <w:jc w:val="left"/>
            </w:pPr>
            <w:r>
              <w:rPr>
                <w:rFonts w:ascii="Calibri" w:hAnsi="Calibri"/>
                <w:sz w:val="18"/>
              </w:rPr>
              <w:t>Continental thermal detection (VIIRS 375m, MODIS 1km)</w:t>
            </w:r>
          </w:p>
        </w:tc>
      </w:tr>
      <w:tr>
        <w:tc>
          <w:tcPr>
            <w:tcW w:type="dxa" w:w="2160"/>
            <w:shd w:fill="F8F9FA"/>
            <w:tcMar>
              <w:top w:w="100" w:type="dxa"/>
              <w:bottom w:w="100" w:type="dxa"/>
              <w:left w:w="140" w:type="dxa"/>
              <w:right w:w="140" w:type="dxa"/>
            </w:tcMar>
          </w:tcPr>
          <w:p>
            <w:pPr>
              <w:jc w:val="left"/>
            </w:pPr>
            <w:r>
              <w:rPr>
                <w:rFonts w:ascii="Calibri" w:hAnsi="Calibri"/>
                <w:sz w:val="18"/>
              </w:rPr>
              <w:t>OpenStreetMap (OSM)</w:t>
            </w:r>
          </w:p>
        </w:tc>
        <w:tc>
          <w:tcPr>
            <w:tcW w:type="dxa" w:w="1872"/>
            <w:shd w:fill="F8F9FA"/>
            <w:tcMar>
              <w:top w:w="100" w:type="dxa"/>
              <w:bottom w:w="100" w:type="dxa"/>
              <w:left w:w="140" w:type="dxa"/>
              <w:right w:w="140" w:type="dxa"/>
            </w:tcMar>
          </w:tcPr>
          <w:p>
            <w:pPr>
              <w:jc w:val="left"/>
            </w:pPr>
            <w:r>
              <w:rPr>
                <w:rFonts w:ascii="Calibri" w:hAnsi="Calibri"/>
                <w:sz w:val="18"/>
              </w:rPr>
              <w:t>Industrial Manufacturing Plants</w:t>
            </w:r>
          </w:p>
        </w:tc>
        <w:tc>
          <w:tcPr>
            <w:tcW w:type="dxa" w:w="1872"/>
            <w:shd w:fill="F8F9FA"/>
            <w:tcMar>
              <w:top w:w="100" w:type="dxa"/>
              <w:bottom w:w="100" w:type="dxa"/>
              <w:left w:w="140" w:type="dxa"/>
              <w:right w:w="140" w:type="dxa"/>
            </w:tcMar>
          </w:tcPr>
          <w:p>
            <w:pPr>
              <w:jc w:val="left"/>
            </w:pPr>
            <w:r>
              <w:rPr>
                <w:rFonts w:ascii="Calibri" w:hAnsi="Calibri"/>
                <w:sz w:val="18"/>
              </w:rPr>
              <w:t>Points &amp; Polygons</w:t>
            </w:r>
          </w:p>
        </w:tc>
        <w:tc>
          <w:tcPr>
            <w:tcW w:type="dxa" w:w="1872"/>
            <w:shd w:fill="F8F9FA"/>
            <w:tcMar>
              <w:top w:w="100" w:type="dxa"/>
              <w:bottom w:w="100" w:type="dxa"/>
              <w:left w:w="140" w:type="dxa"/>
              <w:right w:w="140" w:type="dxa"/>
            </w:tcMar>
          </w:tcPr>
          <w:p>
            <w:pPr>
              <w:jc w:val="left"/>
            </w:pPr>
            <w:r>
              <w:rPr>
                <w:rFonts w:ascii="Calibri" w:hAnsi="Calibri"/>
                <w:sz w:val="18"/>
              </w:rPr>
              <w:t>35,684</w:t>
            </w:r>
          </w:p>
        </w:tc>
        <w:tc>
          <w:tcPr>
            <w:tcW w:type="dxa" w:w="2016"/>
            <w:shd w:fill="F8F9FA"/>
            <w:tcMar>
              <w:top w:w="100" w:type="dxa"/>
              <w:bottom w:w="100" w:type="dxa"/>
              <w:left w:w="140" w:type="dxa"/>
              <w:right w:w="140" w:type="dxa"/>
            </w:tcMar>
          </w:tcPr>
          <w:p>
            <w:pPr>
              <w:jc w:val="left"/>
            </w:pPr>
            <w:r>
              <w:rPr>
                <w:rFonts w:ascii="Calibri" w:hAnsi="Calibri"/>
                <w:sz w:val="18"/>
              </w:rPr>
              <w:t>Factory boundaries, manufacturing subsectors, operator tags</w:t>
            </w:r>
          </w:p>
        </w:tc>
      </w:tr>
      <w:tr>
        <w:tc>
          <w:tcPr>
            <w:tcW w:type="dxa" w:w="2160"/>
            <w:shd w:fill="FFFFFF"/>
            <w:tcMar>
              <w:top w:w="100" w:type="dxa"/>
              <w:bottom w:w="100" w:type="dxa"/>
              <w:left w:w="140" w:type="dxa"/>
              <w:right w:w="140" w:type="dxa"/>
            </w:tcMar>
          </w:tcPr>
          <w:p>
            <w:pPr>
              <w:jc w:val="left"/>
            </w:pPr>
            <w:r>
              <w:rPr>
                <w:rFonts w:ascii="Calibri" w:hAnsi="Calibri"/>
                <w:sz w:val="18"/>
              </w:rPr>
              <w:t>Central Electricity Authority (CEA)</w:t>
            </w:r>
          </w:p>
        </w:tc>
        <w:tc>
          <w:tcPr>
            <w:tcW w:type="dxa" w:w="1872"/>
            <w:shd w:fill="FFFFFF"/>
            <w:tcMar>
              <w:top w:w="100" w:type="dxa"/>
              <w:bottom w:w="100" w:type="dxa"/>
              <w:left w:w="140" w:type="dxa"/>
              <w:right w:w="140" w:type="dxa"/>
            </w:tcMar>
          </w:tcPr>
          <w:p>
            <w:pPr>
              <w:jc w:val="left"/>
            </w:pPr>
            <w:r>
              <w:rPr>
                <w:rFonts w:ascii="Calibri" w:hAnsi="Calibri"/>
                <w:sz w:val="18"/>
              </w:rPr>
              <w:t>Power Generating Utilities</w:t>
            </w:r>
          </w:p>
        </w:tc>
        <w:tc>
          <w:tcPr>
            <w:tcW w:type="dxa" w:w="1872"/>
            <w:shd w:fill="FFFFFF"/>
            <w:tcMar>
              <w:top w:w="100" w:type="dxa"/>
              <w:bottom w:w="100" w:type="dxa"/>
              <w:left w:w="140" w:type="dxa"/>
              <w:right w:w="140" w:type="dxa"/>
            </w:tcMar>
          </w:tcPr>
          <w:p>
            <w:pPr>
              <w:jc w:val="left"/>
            </w:pPr>
            <w:r>
              <w:rPr>
                <w:rFonts w:ascii="Calibri" w:hAnsi="Calibri"/>
                <w:sz w:val="18"/>
              </w:rPr>
              <w:t>Geocoded Points</w:t>
            </w:r>
          </w:p>
        </w:tc>
        <w:tc>
          <w:tcPr>
            <w:tcW w:type="dxa" w:w="1872"/>
            <w:shd w:fill="FFFFFF"/>
            <w:tcMar>
              <w:top w:w="100" w:type="dxa"/>
              <w:bottom w:w="100" w:type="dxa"/>
              <w:left w:w="140" w:type="dxa"/>
              <w:right w:w="140" w:type="dxa"/>
            </w:tcMar>
          </w:tcPr>
          <w:p>
            <w:pPr>
              <w:jc w:val="left"/>
            </w:pPr>
            <w:r>
              <w:rPr>
                <w:rFonts w:ascii="Calibri" w:hAnsi="Calibri"/>
                <w:sz w:val="18"/>
              </w:rPr>
              <w:t>1,633</w:t>
            </w:r>
          </w:p>
        </w:tc>
        <w:tc>
          <w:tcPr>
            <w:tcW w:type="dxa" w:w="2016"/>
            <w:shd w:fill="FFFFFF"/>
            <w:tcMar>
              <w:top w:w="100" w:type="dxa"/>
              <w:bottom w:w="100" w:type="dxa"/>
              <w:left w:w="140" w:type="dxa"/>
              <w:right w:w="140" w:type="dxa"/>
            </w:tcMar>
          </w:tcPr>
          <w:p>
            <w:pPr>
              <w:jc w:val="left"/>
            </w:pPr>
            <w:r>
              <w:rPr>
                <w:rFonts w:ascii="Calibri" w:hAnsi="Calibri"/>
                <w:sz w:val="18"/>
              </w:rPr>
              <w:t>Thermal/gas/hydro stations, installed MW, grid connections</w:t>
            </w:r>
          </w:p>
        </w:tc>
      </w:tr>
      <w:tr>
        <w:tc>
          <w:tcPr>
            <w:tcW w:type="dxa" w:w="2160"/>
            <w:shd w:fill="F8F9FA"/>
            <w:tcMar>
              <w:top w:w="100" w:type="dxa"/>
              <w:bottom w:w="100" w:type="dxa"/>
              <w:left w:w="140" w:type="dxa"/>
              <w:right w:w="140" w:type="dxa"/>
            </w:tcMar>
          </w:tcPr>
          <w:p>
            <w:pPr>
              <w:jc w:val="left"/>
            </w:pPr>
            <w:r>
              <w:rPr>
                <w:rFonts w:ascii="Calibri" w:hAnsi="Calibri"/>
                <w:sz w:val="18"/>
              </w:rPr>
              <w:t>Indian Bureau of Mines (IBM)</w:t>
            </w:r>
          </w:p>
        </w:tc>
        <w:tc>
          <w:tcPr>
            <w:tcW w:type="dxa" w:w="1872"/>
            <w:shd w:fill="F8F9FA"/>
            <w:tcMar>
              <w:top w:w="100" w:type="dxa"/>
              <w:bottom w:w="100" w:type="dxa"/>
              <w:left w:w="140" w:type="dxa"/>
              <w:right w:w="140" w:type="dxa"/>
            </w:tcMar>
          </w:tcPr>
          <w:p>
            <w:pPr>
              <w:jc w:val="left"/>
            </w:pPr>
            <w:r>
              <w:rPr>
                <w:rFonts w:ascii="Calibri" w:hAnsi="Calibri"/>
                <w:sz w:val="18"/>
              </w:rPr>
              <w:t>Mining Leases &amp; Auction Blocks</w:t>
            </w:r>
          </w:p>
        </w:tc>
        <w:tc>
          <w:tcPr>
            <w:tcW w:type="dxa" w:w="1872"/>
            <w:shd w:fill="F8F9FA"/>
            <w:tcMar>
              <w:top w:w="100" w:type="dxa"/>
              <w:bottom w:w="100" w:type="dxa"/>
              <w:left w:w="140" w:type="dxa"/>
              <w:right w:w="140" w:type="dxa"/>
            </w:tcMar>
          </w:tcPr>
          <w:p>
            <w:pPr>
              <w:jc w:val="left"/>
            </w:pPr>
            <w:r>
              <w:rPr>
                <w:rFonts w:ascii="Calibri" w:hAnsi="Calibri"/>
                <w:sz w:val="18"/>
              </w:rPr>
              <w:t>Polygonal Cadastres</w:t>
            </w:r>
          </w:p>
        </w:tc>
        <w:tc>
          <w:tcPr>
            <w:tcW w:type="dxa" w:w="1872"/>
            <w:shd w:fill="F8F9FA"/>
            <w:tcMar>
              <w:top w:w="100" w:type="dxa"/>
              <w:bottom w:w="100" w:type="dxa"/>
              <w:left w:w="140" w:type="dxa"/>
              <w:right w:w="140" w:type="dxa"/>
            </w:tcMar>
          </w:tcPr>
          <w:p>
            <w:pPr>
              <w:jc w:val="left"/>
            </w:pPr>
            <w:r>
              <w:rPr>
                <w:rFonts w:ascii="Calibri" w:hAnsi="Calibri"/>
                <w:sz w:val="18"/>
              </w:rPr>
              <w:t>98,793</w:t>
            </w:r>
          </w:p>
        </w:tc>
        <w:tc>
          <w:tcPr>
            <w:tcW w:type="dxa" w:w="2016"/>
            <w:shd w:fill="F8F9FA"/>
            <w:tcMar>
              <w:top w:w="100" w:type="dxa"/>
              <w:bottom w:w="100" w:type="dxa"/>
              <w:left w:w="140" w:type="dxa"/>
              <w:right w:w="140" w:type="dxa"/>
            </w:tcMar>
          </w:tcPr>
          <w:p>
            <w:pPr>
              <w:jc w:val="left"/>
            </w:pPr>
            <w:r>
              <w:rPr>
                <w:rFonts w:ascii="Calibri" w:hAnsi="Calibri"/>
                <w:sz w:val="18"/>
              </w:rPr>
              <w:t>Mineral commodities (coal, iron ore, bauxite), lease status</w:t>
            </w:r>
          </w:p>
        </w:tc>
      </w:tr>
      <w:tr>
        <w:tc>
          <w:tcPr>
            <w:tcW w:type="dxa" w:w="2160"/>
            <w:shd w:fill="FFFFFF"/>
            <w:tcMar>
              <w:top w:w="100" w:type="dxa"/>
              <w:bottom w:w="100" w:type="dxa"/>
              <w:left w:w="140" w:type="dxa"/>
              <w:right w:w="140" w:type="dxa"/>
            </w:tcMar>
          </w:tcPr>
          <w:p>
            <w:pPr>
              <w:jc w:val="left"/>
            </w:pPr>
            <w:r>
              <w:rPr>
                <w:rFonts w:ascii="Calibri" w:hAnsi="Calibri"/>
                <w:sz w:val="18"/>
              </w:rPr>
              <w:t>MoEFCC PARIVESH</w:t>
            </w:r>
          </w:p>
        </w:tc>
        <w:tc>
          <w:tcPr>
            <w:tcW w:type="dxa" w:w="1872"/>
            <w:shd w:fill="FFFFFF"/>
            <w:tcMar>
              <w:top w:w="100" w:type="dxa"/>
              <w:bottom w:w="100" w:type="dxa"/>
              <w:left w:w="140" w:type="dxa"/>
              <w:right w:w="140" w:type="dxa"/>
            </w:tcMar>
          </w:tcPr>
          <w:p>
            <w:pPr>
              <w:jc w:val="left"/>
            </w:pPr>
            <w:r>
              <w:rPr>
                <w:rFonts w:ascii="Calibri" w:hAnsi="Calibri"/>
                <w:sz w:val="18"/>
              </w:rPr>
              <w:t>Environmental Clearances</w:t>
            </w:r>
          </w:p>
        </w:tc>
        <w:tc>
          <w:tcPr>
            <w:tcW w:type="dxa" w:w="1872"/>
            <w:shd w:fill="FFFFFF"/>
            <w:tcMar>
              <w:top w:w="100" w:type="dxa"/>
              <w:bottom w:w="100" w:type="dxa"/>
              <w:left w:w="140" w:type="dxa"/>
              <w:right w:w="140" w:type="dxa"/>
            </w:tcMar>
          </w:tcPr>
          <w:p>
            <w:pPr>
              <w:jc w:val="left"/>
            </w:pPr>
            <w:r>
              <w:rPr>
                <w:rFonts w:ascii="Calibri" w:hAnsi="Calibri"/>
                <w:sz w:val="18"/>
              </w:rPr>
              <w:t>Regulatory Records</w:t>
            </w:r>
          </w:p>
        </w:tc>
        <w:tc>
          <w:tcPr>
            <w:tcW w:type="dxa" w:w="1872"/>
            <w:shd w:fill="FFFFFF"/>
            <w:tcMar>
              <w:top w:w="100" w:type="dxa"/>
              <w:bottom w:w="100" w:type="dxa"/>
              <w:left w:w="140" w:type="dxa"/>
              <w:right w:w="140" w:type="dxa"/>
            </w:tcMar>
          </w:tcPr>
          <w:p>
            <w:pPr>
              <w:jc w:val="left"/>
            </w:pPr>
            <w:r>
              <w:rPr>
                <w:rFonts w:ascii="Calibri" w:hAnsi="Calibri"/>
                <w:sz w:val="18"/>
              </w:rPr>
              <w:t>Linked to Facilities</w:t>
            </w:r>
          </w:p>
        </w:tc>
        <w:tc>
          <w:tcPr>
            <w:tcW w:type="dxa" w:w="2016"/>
            <w:shd w:fill="FFFFFF"/>
            <w:tcMar>
              <w:top w:w="100" w:type="dxa"/>
              <w:bottom w:w="100" w:type="dxa"/>
              <w:left w:w="140" w:type="dxa"/>
              <w:right w:w="140" w:type="dxa"/>
            </w:tcMar>
          </w:tcPr>
          <w:p>
            <w:pPr>
              <w:jc w:val="left"/>
            </w:pPr>
            <w:r>
              <w:rPr>
                <w:rFonts w:ascii="Calibri" w:hAnsi="Calibri"/>
                <w:sz w:val="18"/>
              </w:rPr>
              <w:t>Environmental compliance, EC conditions, clearances</w:t>
            </w:r>
          </w:p>
        </w:tc>
      </w:tr>
      <w:tr>
        <w:tc>
          <w:tcPr>
            <w:tcW w:type="dxa" w:w="2160"/>
            <w:shd w:fill="F8F9FA"/>
            <w:tcMar>
              <w:top w:w="100" w:type="dxa"/>
              <w:bottom w:w="100" w:type="dxa"/>
              <w:left w:w="140" w:type="dxa"/>
              <w:right w:w="140" w:type="dxa"/>
            </w:tcMar>
          </w:tcPr>
          <w:p>
            <w:pPr>
              <w:jc w:val="left"/>
            </w:pPr>
            <w:r>
              <w:rPr>
                <w:rFonts w:ascii="Calibri" w:hAnsi="Calibri"/>
                <w:sz w:val="18"/>
              </w:rPr>
              <w:t>Survey of India (SOI)</w:t>
            </w:r>
          </w:p>
        </w:tc>
        <w:tc>
          <w:tcPr>
            <w:tcW w:type="dxa" w:w="1872"/>
            <w:shd w:fill="F8F9FA"/>
            <w:tcMar>
              <w:top w:w="100" w:type="dxa"/>
              <w:bottom w:w="100" w:type="dxa"/>
              <w:left w:w="140" w:type="dxa"/>
              <w:right w:w="140" w:type="dxa"/>
            </w:tcMar>
          </w:tcPr>
          <w:p>
            <w:pPr>
              <w:jc w:val="left"/>
            </w:pPr>
            <w:r>
              <w:rPr>
                <w:rFonts w:ascii="Calibri" w:hAnsi="Calibri"/>
                <w:sz w:val="18"/>
              </w:rPr>
              <w:t>Administrative Geography</w:t>
            </w:r>
          </w:p>
        </w:tc>
        <w:tc>
          <w:tcPr>
            <w:tcW w:type="dxa" w:w="1872"/>
            <w:shd w:fill="F8F9FA"/>
            <w:tcMar>
              <w:top w:w="100" w:type="dxa"/>
              <w:bottom w:w="100" w:type="dxa"/>
              <w:left w:w="140" w:type="dxa"/>
              <w:right w:w="140" w:type="dxa"/>
            </w:tcMar>
          </w:tcPr>
          <w:p>
            <w:pPr>
              <w:jc w:val="left"/>
            </w:pPr>
            <w:r>
              <w:rPr>
                <w:rFonts w:ascii="Calibri" w:hAnsi="Calibri"/>
                <w:sz w:val="18"/>
              </w:rPr>
              <w:t>MultiPolygons</w:t>
            </w:r>
          </w:p>
        </w:tc>
        <w:tc>
          <w:tcPr>
            <w:tcW w:type="dxa" w:w="1872"/>
            <w:shd w:fill="F8F9FA"/>
            <w:tcMar>
              <w:top w:w="100" w:type="dxa"/>
              <w:bottom w:w="100" w:type="dxa"/>
              <w:left w:w="140" w:type="dxa"/>
              <w:right w:w="140" w:type="dxa"/>
            </w:tcMar>
          </w:tcPr>
          <w:p>
            <w:pPr>
              <w:jc w:val="left"/>
            </w:pPr>
            <w:r>
              <w:rPr>
                <w:rFonts w:ascii="Calibri" w:hAnsi="Calibri"/>
                <w:sz w:val="18"/>
              </w:rPr>
              <w:t>36 States, 736 Dist.</w:t>
            </w:r>
          </w:p>
        </w:tc>
        <w:tc>
          <w:tcPr>
            <w:tcW w:type="dxa" w:w="2016"/>
            <w:shd w:fill="F8F9FA"/>
            <w:tcMar>
              <w:top w:w="100" w:type="dxa"/>
              <w:bottom w:w="100" w:type="dxa"/>
              <w:left w:w="140" w:type="dxa"/>
              <w:right w:w="140" w:type="dxa"/>
            </w:tcMar>
          </w:tcPr>
          <w:p>
            <w:pPr>
              <w:jc w:val="left"/>
            </w:pPr>
            <w:r>
              <w:rPr>
                <w:rFonts w:ascii="Calibri" w:hAnsi="Calibri"/>
                <w:sz w:val="18"/>
              </w:rPr>
              <w:t>Jurisdictional containment, administrative hierarchy</w:t>
            </w:r>
          </w:p>
        </w:tc>
      </w:tr>
      <w:tr>
        <w:tc>
          <w:tcPr>
            <w:tcW w:type="dxa" w:w="2160"/>
            <w:shd w:fill="FFFFFF"/>
            <w:tcMar>
              <w:top w:w="100" w:type="dxa"/>
              <w:bottom w:w="100" w:type="dxa"/>
              <w:left w:w="140" w:type="dxa"/>
              <w:right w:w="140" w:type="dxa"/>
            </w:tcMar>
          </w:tcPr>
          <w:p>
            <w:pPr>
              <w:jc w:val="left"/>
            </w:pPr>
            <w:r>
              <w:rPr>
                <w:rFonts w:ascii="Calibri" w:hAnsi="Calibri"/>
                <w:sz w:val="18"/>
              </w:rPr>
              <w:t>ISRO / NRSC Bhuvan</w:t>
            </w:r>
          </w:p>
        </w:tc>
        <w:tc>
          <w:tcPr>
            <w:tcW w:type="dxa" w:w="1872"/>
            <w:shd w:fill="FFFFFF"/>
            <w:tcMar>
              <w:top w:w="100" w:type="dxa"/>
              <w:bottom w:w="100" w:type="dxa"/>
              <w:left w:w="140" w:type="dxa"/>
              <w:right w:w="140" w:type="dxa"/>
            </w:tcMar>
          </w:tcPr>
          <w:p>
            <w:pPr>
              <w:jc w:val="left"/>
            </w:pPr>
            <w:r>
              <w:rPr>
                <w:rFonts w:ascii="Calibri" w:hAnsi="Calibri"/>
                <w:sz w:val="18"/>
              </w:rPr>
              <w:t>Land Use / Land Cover (LULC)</w:t>
            </w:r>
          </w:p>
        </w:tc>
        <w:tc>
          <w:tcPr>
            <w:tcW w:type="dxa" w:w="1872"/>
            <w:shd w:fill="FFFFFF"/>
            <w:tcMar>
              <w:top w:w="100" w:type="dxa"/>
              <w:bottom w:w="100" w:type="dxa"/>
              <w:left w:w="140" w:type="dxa"/>
              <w:right w:w="140" w:type="dxa"/>
            </w:tcMar>
          </w:tcPr>
          <w:p>
            <w:pPr>
              <w:jc w:val="left"/>
            </w:pPr>
            <w:r>
              <w:rPr>
                <w:rFonts w:ascii="Calibri" w:hAnsi="Calibri"/>
                <w:sz w:val="18"/>
              </w:rPr>
              <w:t>Thematic Polygons</w:t>
            </w:r>
          </w:p>
        </w:tc>
        <w:tc>
          <w:tcPr>
            <w:tcW w:type="dxa" w:w="1872"/>
            <w:shd w:fill="FFFFFF"/>
            <w:tcMar>
              <w:top w:w="100" w:type="dxa"/>
              <w:bottom w:w="100" w:type="dxa"/>
              <w:left w:w="140" w:type="dxa"/>
              <w:right w:w="140" w:type="dxa"/>
            </w:tcMar>
          </w:tcPr>
          <w:p>
            <w:pPr>
              <w:jc w:val="left"/>
            </w:pPr>
            <w:r>
              <w:rPr>
                <w:rFonts w:ascii="Calibri" w:hAnsi="Calibri"/>
                <w:sz w:val="18"/>
              </w:rPr>
              <w:t>15 Classes</w:t>
            </w:r>
          </w:p>
        </w:tc>
        <w:tc>
          <w:tcPr>
            <w:tcW w:type="dxa" w:w="2016"/>
            <w:shd w:fill="FFFFFF"/>
            <w:tcMar>
              <w:top w:w="100" w:type="dxa"/>
              <w:bottom w:w="100" w:type="dxa"/>
              <w:left w:w="140" w:type="dxa"/>
              <w:right w:w="140" w:type="dxa"/>
            </w:tcMar>
          </w:tcPr>
          <w:p>
            <w:pPr>
              <w:jc w:val="left"/>
            </w:pPr>
            <w:r>
              <w:rPr>
                <w:rFonts w:ascii="Calibri" w:hAnsi="Calibri"/>
                <w:sz w:val="18"/>
              </w:rPr>
              <w:t>Thematic surface cover (cropland, scrub, industrial, water)</w:t>
            </w:r>
          </w:p>
        </w:tc>
      </w:tr>
      <w:tr>
        <w:tc>
          <w:tcPr>
            <w:tcW w:type="dxa" w:w="2160"/>
            <w:shd w:fill="F8F9FA"/>
            <w:tcMar>
              <w:top w:w="100" w:type="dxa"/>
              <w:bottom w:w="100" w:type="dxa"/>
              <w:left w:w="140" w:type="dxa"/>
              <w:right w:w="140" w:type="dxa"/>
            </w:tcMar>
          </w:tcPr>
          <w:p>
            <w:pPr>
              <w:jc w:val="left"/>
            </w:pPr>
            <w:r>
              <w:rPr>
                <w:rFonts w:ascii="Calibri" w:hAnsi="Calibri"/>
                <w:sz w:val="18"/>
              </w:rPr>
              <w:t>Forest Survey of India (FSI)</w:t>
            </w:r>
          </w:p>
        </w:tc>
        <w:tc>
          <w:tcPr>
            <w:tcW w:type="dxa" w:w="1872"/>
            <w:shd w:fill="F8F9FA"/>
            <w:tcMar>
              <w:top w:w="100" w:type="dxa"/>
              <w:bottom w:w="100" w:type="dxa"/>
              <w:left w:w="140" w:type="dxa"/>
              <w:right w:w="140" w:type="dxa"/>
            </w:tcMar>
          </w:tcPr>
          <w:p>
            <w:pPr>
              <w:jc w:val="left"/>
            </w:pPr>
            <w:r>
              <w:rPr>
                <w:rFonts w:ascii="Calibri" w:hAnsi="Calibri"/>
                <w:sz w:val="18"/>
              </w:rPr>
              <w:t>ISFR Forest Canopy Density</w:t>
            </w:r>
          </w:p>
        </w:tc>
        <w:tc>
          <w:tcPr>
            <w:tcW w:type="dxa" w:w="1872"/>
            <w:shd w:fill="F8F9FA"/>
            <w:tcMar>
              <w:top w:w="100" w:type="dxa"/>
              <w:bottom w:w="100" w:type="dxa"/>
              <w:left w:w="140" w:type="dxa"/>
              <w:right w:w="140" w:type="dxa"/>
            </w:tcMar>
          </w:tcPr>
          <w:p>
            <w:pPr>
              <w:jc w:val="left"/>
            </w:pPr>
            <w:r>
              <w:rPr>
                <w:rFonts w:ascii="Calibri" w:hAnsi="Calibri"/>
                <w:sz w:val="18"/>
              </w:rPr>
              <w:t>District Summaries</w:t>
            </w:r>
          </w:p>
        </w:tc>
        <w:tc>
          <w:tcPr>
            <w:tcW w:type="dxa" w:w="1872"/>
            <w:shd w:fill="F8F9FA"/>
            <w:tcMar>
              <w:top w:w="100" w:type="dxa"/>
              <w:bottom w:w="100" w:type="dxa"/>
              <w:left w:w="140" w:type="dxa"/>
              <w:right w:w="140" w:type="dxa"/>
            </w:tcMar>
          </w:tcPr>
          <w:p>
            <w:pPr>
              <w:jc w:val="left"/>
            </w:pPr>
            <w:r>
              <w:rPr>
                <w:rFonts w:ascii="Calibri" w:hAnsi="Calibri"/>
                <w:sz w:val="18"/>
              </w:rPr>
              <w:t>736 Districts</w:t>
            </w:r>
          </w:p>
        </w:tc>
        <w:tc>
          <w:tcPr>
            <w:tcW w:type="dxa" w:w="2016"/>
            <w:shd w:fill="F8F9FA"/>
            <w:tcMar>
              <w:top w:w="100" w:type="dxa"/>
              <w:bottom w:w="100" w:type="dxa"/>
              <w:left w:w="140" w:type="dxa"/>
              <w:right w:w="140" w:type="dxa"/>
            </w:tcMar>
          </w:tcPr>
          <w:p>
            <w:pPr>
              <w:jc w:val="left"/>
            </w:pPr>
            <w:r>
              <w:rPr>
                <w:rFonts w:ascii="Calibri" w:hAnsi="Calibri"/>
                <w:sz w:val="18"/>
              </w:rPr>
              <w:t>Very Dense, Moderately Dense, Open Forest cover</w:t>
            </w:r>
          </w:p>
        </w:tc>
      </w:tr>
      <w:tr>
        <w:tc>
          <w:tcPr>
            <w:tcW w:type="dxa" w:w="2160"/>
            <w:shd w:fill="FFFFFF"/>
            <w:tcMar>
              <w:top w:w="100" w:type="dxa"/>
              <w:bottom w:w="100" w:type="dxa"/>
              <w:left w:w="140" w:type="dxa"/>
              <w:right w:w="140" w:type="dxa"/>
            </w:tcMar>
          </w:tcPr>
          <w:p>
            <w:pPr>
              <w:jc w:val="left"/>
            </w:pPr>
            <w:r>
              <w:rPr>
                <w:rFonts w:ascii="Calibri" w:hAnsi="Calibri"/>
                <w:sz w:val="18"/>
              </w:rPr>
              <w:t>Wildlife Institute of India (WII)</w:t>
            </w:r>
          </w:p>
        </w:tc>
        <w:tc>
          <w:tcPr>
            <w:tcW w:type="dxa" w:w="1872"/>
            <w:shd w:fill="FFFFFF"/>
            <w:tcMar>
              <w:top w:w="100" w:type="dxa"/>
              <w:bottom w:w="100" w:type="dxa"/>
              <w:left w:w="140" w:type="dxa"/>
              <w:right w:w="140" w:type="dxa"/>
            </w:tcMar>
          </w:tcPr>
          <w:p>
            <w:pPr>
              <w:jc w:val="left"/>
            </w:pPr>
            <w:r>
              <w:rPr>
                <w:rFonts w:ascii="Calibri" w:hAnsi="Calibri"/>
                <w:sz w:val="18"/>
              </w:rPr>
              <w:t>Protected Areas &amp; ESZ Buffers</w:t>
            </w:r>
          </w:p>
        </w:tc>
        <w:tc>
          <w:tcPr>
            <w:tcW w:type="dxa" w:w="1872"/>
            <w:shd w:fill="FFFFFF"/>
            <w:tcMar>
              <w:top w:w="100" w:type="dxa"/>
              <w:bottom w:w="100" w:type="dxa"/>
              <w:left w:w="140" w:type="dxa"/>
              <w:right w:w="140" w:type="dxa"/>
            </w:tcMar>
          </w:tcPr>
          <w:p>
            <w:pPr>
              <w:jc w:val="left"/>
            </w:pPr>
            <w:r>
              <w:rPr>
                <w:rFonts w:ascii="Calibri" w:hAnsi="Calibri"/>
                <w:sz w:val="18"/>
              </w:rPr>
              <w:t>MultiPolygons</w:t>
            </w:r>
          </w:p>
        </w:tc>
        <w:tc>
          <w:tcPr>
            <w:tcW w:type="dxa" w:w="1872"/>
            <w:shd w:fill="FFFFFF"/>
            <w:tcMar>
              <w:top w:w="100" w:type="dxa"/>
              <w:bottom w:w="100" w:type="dxa"/>
              <w:left w:w="140" w:type="dxa"/>
              <w:right w:w="140" w:type="dxa"/>
            </w:tcMar>
          </w:tcPr>
          <w:p>
            <w:pPr>
              <w:jc w:val="left"/>
            </w:pPr>
            <w:r>
              <w:rPr>
                <w:rFonts w:ascii="Calibri" w:hAnsi="Calibri"/>
                <w:sz w:val="18"/>
              </w:rPr>
              <w:t>11 Major Reserves</w:t>
            </w:r>
          </w:p>
        </w:tc>
        <w:tc>
          <w:tcPr>
            <w:tcW w:type="dxa" w:w="2016"/>
            <w:shd w:fill="FFFFFF"/>
            <w:tcMar>
              <w:top w:w="100" w:type="dxa"/>
              <w:bottom w:w="100" w:type="dxa"/>
              <w:left w:w="140" w:type="dxa"/>
              <w:right w:w="140" w:type="dxa"/>
            </w:tcMar>
          </w:tcPr>
          <w:p>
            <w:pPr>
              <w:jc w:val="left"/>
            </w:pPr>
            <w:r>
              <w:rPr>
                <w:rFonts w:ascii="Calibri" w:hAnsi="Calibri"/>
                <w:sz w:val="18"/>
              </w:rPr>
              <w:t>National Parks, Tiger Reserves, 10km Eco-Sensitive Zones</w:t>
            </w:r>
          </w:p>
        </w:tc>
      </w:tr>
    </w:tbl>
    <w:p>
      <w:pPr>
        <w:spacing w:after="160"/>
      </w:pPr>
    </w:p>
    <w:p>
      <w:pPr>
        <w:pStyle w:val="Heading2"/>
        <w:spacing w:before="240" w:after="120"/>
      </w:pPr>
      <w:r>
        <w:t>7.1 Authoritative vs. Demo/Pilot Data Policy</w:t>
      </w:r>
    </w:p>
    <w:p>
      <w:pPr>
        <w:spacing w:after="120" w:line="276" w:lineRule="auto"/>
      </w:pPr>
      <w:r>
        <w:rPr>
          <w:sz w:val="21"/>
        </w:rPr>
        <w:t>To maintain absolute scientific and operational provenance:</w:t>
      </w:r>
    </w:p>
    <w:p>
      <w:pPr>
        <w:spacing w:after="120" w:line="276" w:lineRule="auto"/>
      </w:pPr>
      <w:r>
        <w:rPr>
          <w:sz w:val="21"/>
        </w:rPr>
        <w:t>* Authoritative Archive (2022–2026): Ingested exclusively from official NASA FIRMS archives and verified government registries.</w:t>
      </w:r>
    </w:p>
    <w:p>
      <w:pPr>
        <w:spacing w:after="120" w:line="276" w:lineRule="auto"/>
      </w:pPr>
      <w:r>
        <w:rPr>
          <w:sz w:val="21"/>
        </w:rPr>
        <w:t>* Pilot/Demo Isolation: Exactly 210,000 synthetic pilot records from early 2022 prototyping remain sealed in the database under is_demo = true and are strictly excluded from all machine learning training, feature generation, calibration, and validation pipelines.</w:t>
      </w:r>
    </w:p>
    <w:p>
      <w:pPr>
        <w:spacing w:after="120" w:line="276" w:lineRule="auto"/>
      </w:pPr>
      <w:r>
        <w:rPr>
          <w:sz w:val="21"/>
        </w:rPr>
        <w:t>* NO_COVERAGE Policy: Where geographic or regulatory data is absent for a given coordinate, AGNI-NETRA renders an explicit NO_COVERAGE flag rather than interpolating or synthesizing false evidence.</w:t>
      </w:r>
    </w:p>
    <w:p>
      <w:pPr>
        <w:pStyle w:val="Heading1"/>
        <w:spacing w:before="360" w:after="160"/>
      </w:pPr>
      <w:r>
        <w:t>8. Database and PostGIS Architecture</w:t>
      </w:r>
    </w:p>
    <w:p>
      <w:pPr>
        <w:spacing w:after="120" w:line="276" w:lineRule="auto"/>
      </w:pPr>
      <w:r>
        <w:rPr>
          <w:sz w:val="21"/>
        </w:rPr>
        <w:t>AGNI-NETRA uses PostgreSQL 16.1 with the PostGIS 3.4.2 spatial extension. The database is initialized on the standard spatial reference identifier EPSG:4326 (WGS 84 coordinate system).</w:t>
      </w:r>
    </w:p>
    <w:p>
      <w:pPr>
        <w:pStyle w:val="Heading2"/>
        <w:spacing w:before="240" w:after="120"/>
      </w:pPr>
      <w:r>
        <w:t>8.1 Database Architecture &amp; Table Cardinality</w:t>
      </w:r>
    </w:p>
    <w:p>
      <w:pPr>
        <w:spacing w:after="120" w:line="276" w:lineRule="auto"/>
      </w:pPr>
      <w:r>
        <w:rPr>
          <w:sz w:val="21"/>
        </w:rPr>
        <w:t>+-----------------------------------------------------------------------------------------+</w:t>
      </w:r>
    </w:p>
    <w:tbl>
      <w:tblPr>
        <w:tblW w:type="auto" w:w="0"/>
        <w:jc w:val="center"/>
        <w:tblLook w:firstColumn="1" w:firstRow="1" w:lastColumn="0" w:lastRow="0" w:noHBand="0" w:noVBand="1" w:val="04A0"/>
      </w:tblPr>
      <w:tblGrid>
        <w:gridCol w:w="9936"/>
      </w:tblGrid>
      <w:tr>
        <w:tc>
          <w:tcPr>
            <w:tcW w:type="dxa" w:w="9792"/>
            <w:shd w:fill="003366"/>
            <w:tcMar>
              <w:top w:w="120" w:type="dxa"/>
              <w:bottom w:w="120" w:type="dxa"/>
              <w:left w:w="140" w:type="dxa"/>
              <w:right w:w="140" w:type="dxa"/>
            </w:tcMar>
          </w:tcPr>
          <w:p>
            <w:pPr>
              <w:jc w:val="left"/>
            </w:pPr>
            <w:r>
              <w:rPr>
                <w:rFonts w:ascii="Calibri" w:hAnsi="Calibri"/>
                <w:b/>
                <w:color w:val="FFFFFF"/>
                <w:sz w:val="19"/>
              </w:rPr>
              <w:t>POSTGRESQL 16 / POSTGIS 3.4</w:t>
            </w:r>
          </w:p>
        </w:tc>
      </w:tr>
      <w:tr>
        <w:tc>
          <w:tcPr>
            <w:tcW w:type="dxa" w:w="9792"/>
            <w:shd w:fill="FFFFFF"/>
            <w:tcMar>
              <w:top w:w="100" w:type="dxa"/>
              <w:bottom w:w="100" w:type="dxa"/>
              <w:left w:w="140" w:type="dxa"/>
              <w:right w:w="140" w:type="dxa"/>
            </w:tcMar>
          </w:tcPr>
          <w:p>
            <w:pPr>
              <w:jc w:val="left"/>
            </w:pPr>
            <w:r>
              <w:rPr>
                <w:rFonts w:ascii="Calibri" w:hAnsi="Calibri"/>
                <w:sz w:val="18"/>
              </w:rPr>
              <w:t>[thermal_detections] (8.2M+ rows)                  [industrial_facilities] (35.6k)</w:t>
            </w:r>
          </w:p>
        </w:tc>
      </w:tr>
      <w:tr>
        <w:tc>
          <w:tcPr>
            <w:tcW w:type="dxa" w:w="9792"/>
            <w:shd w:fill="F8F9FA"/>
            <w:tcMar>
              <w:top w:w="100" w:type="dxa"/>
              <w:bottom w:w="100" w:type="dxa"/>
              <w:left w:w="140" w:type="dxa"/>
              <w:right w:w="140" w:type="dxa"/>
            </w:tcMar>
          </w:tcPr>
          <w:p>
            <w:pPr>
              <w:jc w:val="left"/>
            </w:pPr>
            <w:r>
              <w:rPr>
                <w:rFonts w:ascii="Calibri" w:hAnsi="Calibri"/>
                <w:sz w:val="18"/>
              </w:rPr>
              <w:t>- id: UUID PK                                      - id: VARCHAR(64) PK</w:t>
            </w:r>
          </w:p>
        </w:tc>
      </w:tr>
      <w:tr>
        <w:tc>
          <w:tcPr>
            <w:tcW w:type="dxa" w:w="9792"/>
            <w:shd w:fill="FFFFFF"/>
            <w:tcMar>
              <w:top w:w="100" w:type="dxa"/>
              <w:bottom w:w="100" w:type="dxa"/>
              <w:left w:w="140" w:type="dxa"/>
              <w:right w:w="140" w:type="dxa"/>
            </w:tcMar>
          </w:tcPr>
          <w:p>
            <w:pPr>
              <w:jc w:val="left"/>
            </w:pPr>
            <w:r>
              <w:rPr>
                <w:rFonts w:ascii="Calibri" w:hAnsi="Calibri"/>
                <w:sz w:val="18"/>
              </w:rPr>
              <w:t>- acq_timestamp: TIMESTAMPTZ                       - name, sector, facility_type</w:t>
            </w:r>
          </w:p>
        </w:tc>
      </w:tr>
      <w:tr>
        <w:tc>
          <w:tcPr>
            <w:tcW w:type="dxa" w:w="9792"/>
            <w:shd w:fill="F8F9FA"/>
            <w:tcMar>
              <w:top w:w="100" w:type="dxa"/>
              <w:bottom w:w="100" w:type="dxa"/>
              <w:left w:w="140" w:type="dxa"/>
              <w:right w:w="140" w:type="dxa"/>
            </w:tcMar>
          </w:tcPr>
          <w:p>
            <w:pPr>
              <w:jc w:val="left"/>
            </w:pPr>
            <w:r>
              <w:rPr>
                <w:rFonts w:ascii="Calibri" w:hAnsi="Calibri"/>
                <w:sz w:val="18"/>
              </w:rPr>
              <w:t>- latitude, longitude                              - plant_capacity, cea_name</w:t>
            </w:r>
          </w:p>
        </w:tc>
      </w:tr>
      <w:tr>
        <w:tc>
          <w:tcPr>
            <w:tcW w:type="dxa" w:w="9792"/>
            <w:shd w:fill="FFFFFF"/>
            <w:tcMar>
              <w:top w:w="100" w:type="dxa"/>
              <w:bottom w:w="100" w:type="dxa"/>
              <w:left w:w="140" w:type="dxa"/>
              <w:right w:w="140" w:type="dxa"/>
            </w:tcMar>
          </w:tcPr>
          <w:p>
            <w:pPr>
              <w:jc w:val="left"/>
            </w:pPr>
            <w:r>
              <w:rPr>
                <w:rFonts w:ascii="Calibri" w:hAnsi="Calibri"/>
                <w:sz w:val="18"/>
              </w:rPr>
              <w:t>- frp, brightness, confidence                      - geom: GEOMETRY(Point, 4326)</w:t>
            </w:r>
          </w:p>
        </w:tc>
      </w:tr>
      <w:tr>
        <w:tc>
          <w:tcPr>
            <w:tcW w:type="dxa" w:w="9792"/>
            <w:shd w:fill="F8F9FA"/>
            <w:tcMar>
              <w:top w:w="100" w:type="dxa"/>
              <w:bottom w:w="100" w:type="dxa"/>
              <w:left w:w="140" w:type="dxa"/>
              <w:right w:w="140" w:type="dxa"/>
            </w:tcMar>
          </w:tcPr>
          <w:p>
            <w:pPr>
              <w:jc w:val="left"/>
            </w:pPr>
            <w:r>
              <w:rPr>
                <w:rFonts w:ascii="Calibri" w:hAnsi="Calibri"/>
                <w:sz w:val="18"/>
              </w:rPr>
              <w:t>- geom: GEOMETRY(Point, 4326) [GIST]               - [GIST Spatial Index]</w:t>
            </w:r>
          </w:p>
        </w:tc>
      </w:tr>
      <w:tr>
        <w:tc>
          <w:tcPr>
            <w:tcW w:type="dxa" w:w="9792"/>
            <w:shd w:fill="FFFFFF"/>
            <w:tcMar>
              <w:top w:w="100" w:type="dxa"/>
              <w:bottom w:w="100" w:type="dxa"/>
              <w:left w:w="140" w:type="dxa"/>
              <w:right w:w="140" w:type="dxa"/>
            </w:tcMar>
          </w:tcPr>
          <w:p>
            <w:pPr>
              <w:jc w:val="left"/>
            </w:pPr>
            <w:r>
              <w:rPr>
                <w:rFonts w:ascii="Calibri" w:hAnsi="Calibri"/>
                <w:sz w:val="18"/>
              </w:rPr>
              <w:t>│                                                    │</w:t>
            </w:r>
          </w:p>
        </w:tc>
      </w:tr>
      <w:tr>
        <w:tc>
          <w:tcPr>
            <w:tcW w:type="dxa" w:w="9792"/>
            <w:shd w:fill="F8F9FA"/>
            <w:tcMar>
              <w:top w:w="100" w:type="dxa"/>
              <w:bottom w:w="100" w:type="dxa"/>
              <w:left w:w="140" w:type="dxa"/>
              <w:right w:w="140" w:type="dxa"/>
            </w:tcMar>
          </w:tcPr>
          <w:p>
            <w:pPr>
              <w:jc w:val="left"/>
            </w:pPr>
            <w:r>
              <w:rPr>
                <w:rFonts w:ascii="Calibri" w:hAnsi="Calibri"/>
                <w:sz w:val="18"/>
              </w:rPr>
              <w:t>▼ (clustered into)                                   │ (spatial distance)</w:t>
            </w:r>
          </w:p>
        </w:tc>
      </w:tr>
      <w:tr>
        <w:tc>
          <w:tcPr>
            <w:tcW w:type="dxa" w:w="9792"/>
            <w:shd w:fill="FFFFFF"/>
            <w:tcMar>
              <w:top w:w="100" w:type="dxa"/>
              <w:bottom w:w="100" w:type="dxa"/>
              <w:left w:w="140" w:type="dxa"/>
              <w:right w:w="140" w:type="dxa"/>
            </w:tcMar>
          </w:tcPr>
          <w:p>
            <w:pPr>
              <w:jc w:val="left"/>
            </w:pPr>
            <w:r>
              <w:rPr>
                <w:rFonts w:ascii="Calibri" w:hAnsi="Calibri"/>
                <w:sz w:val="18"/>
              </w:rPr>
              <w:t>[thermal_events] (215 active)                               │</w:t>
            </w:r>
          </w:p>
        </w:tc>
      </w:tr>
      <w:tr>
        <w:tc>
          <w:tcPr>
            <w:tcW w:type="dxa" w:w="9792"/>
            <w:shd w:fill="F8F9FA"/>
            <w:tcMar>
              <w:top w:w="100" w:type="dxa"/>
              <w:bottom w:w="100" w:type="dxa"/>
              <w:left w:w="140" w:type="dxa"/>
              <w:right w:w="140" w:type="dxa"/>
            </w:tcMar>
          </w:tcPr>
          <w:p>
            <w:pPr>
              <w:jc w:val="left"/>
            </w:pPr>
            <w:r>
              <w:rPr>
                <w:rFonts w:ascii="Calibri" w:hAnsi="Calibri"/>
                <w:sz w:val="18"/>
              </w:rPr>
              <w:t>- id: UUID PK                                              │</w:t>
            </w:r>
          </w:p>
        </w:tc>
      </w:tr>
      <w:tr>
        <w:tc>
          <w:tcPr>
            <w:tcW w:type="dxa" w:w="9792"/>
            <w:shd w:fill="FFFFFF"/>
            <w:tcMar>
              <w:top w:w="100" w:type="dxa"/>
              <w:bottom w:w="100" w:type="dxa"/>
              <w:left w:w="140" w:type="dxa"/>
              <w:right w:w="140" w:type="dxa"/>
            </w:tcMar>
          </w:tcPr>
          <w:p>
            <w:pPr>
              <w:jc w:val="left"/>
            </w:pPr>
            <w:r>
              <w:rPr>
                <w:rFonts w:ascii="Calibri" w:hAnsi="Calibri"/>
                <w:sz w:val="18"/>
              </w:rPr>
              <w:t>- event_code: VARCHAR(50) UK                               ▼</w:t>
            </w:r>
          </w:p>
        </w:tc>
      </w:tr>
      <w:tr>
        <w:tc>
          <w:tcPr>
            <w:tcW w:type="dxa" w:w="9792"/>
            <w:shd w:fill="F8F9FA"/>
            <w:tcMar>
              <w:top w:w="100" w:type="dxa"/>
              <w:bottom w:w="100" w:type="dxa"/>
              <w:left w:w="140" w:type="dxa"/>
              <w:right w:w="140" w:type="dxa"/>
            </w:tcMar>
          </w:tcPr>
          <w:p>
            <w:pPr>
              <w:jc w:val="left"/>
            </w:pPr>
            <w:r>
              <w:rPr>
                <w:rFonts w:ascii="Calibri" w:hAnsi="Calibri"/>
                <w:sz w:val="18"/>
              </w:rPr>
              <w:t>- centroid_lat, centroid_lon                     [event_features] (1,674 rows)</w:t>
            </w:r>
          </w:p>
        </w:tc>
      </w:tr>
      <w:tr>
        <w:tc>
          <w:tcPr>
            <w:tcW w:type="dxa" w:w="9792"/>
            <w:shd w:fill="FFFFFF"/>
            <w:tcMar>
              <w:top w:w="100" w:type="dxa"/>
              <w:bottom w:w="100" w:type="dxa"/>
              <w:left w:w="140" w:type="dxa"/>
              <w:right w:w="140" w:type="dxa"/>
            </w:tcMar>
          </w:tcPr>
          <w:p>
            <w:pPr>
              <w:jc w:val="left"/>
            </w:pPr>
            <w:r>
              <w:rPr>
                <w:rFonts w:ascii="Calibri" w:hAnsi="Calibri"/>
                <w:sz w:val="18"/>
              </w:rPr>
              <w:t>- first_detected, last_detected                   - id: UUID PK</w:t>
            </w:r>
          </w:p>
        </w:tc>
      </w:tr>
      <w:tr>
        <w:tc>
          <w:tcPr>
            <w:tcW w:type="dxa" w:w="9792"/>
            <w:shd w:fill="F8F9FA"/>
            <w:tcMar>
              <w:top w:w="100" w:type="dxa"/>
              <w:bottom w:w="100" w:type="dxa"/>
              <w:left w:w="140" w:type="dxa"/>
              <w:right w:w="140" w:type="dxa"/>
            </w:tcMar>
          </w:tcPr>
          <w:p>
            <w:pPr>
              <w:jc w:val="left"/>
            </w:pPr>
            <w:r>
              <w:rPr>
                <w:rFonts w:ascii="Calibri" w:hAnsi="Calibri"/>
                <w:sz w:val="18"/>
              </w:rPr>
              <w:t>- max_frp, avg_frp, detection_count               - event_id: UUID FK</w:t>
            </w:r>
          </w:p>
        </w:tc>
      </w:tr>
      <w:tr>
        <w:tc>
          <w:tcPr>
            <w:tcW w:type="dxa" w:w="9792"/>
            <w:shd w:fill="FFFFFF"/>
            <w:tcMar>
              <w:top w:w="100" w:type="dxa"/>
              <w:bottom w:w="100" w:type="dxa"/>
              <w:left w:w="140" w:type="dxa"/>
              <w:right w:w="140" w:type="dxa"/>
            </w:tcMar>
          </w:tcPr>
          <w:p>
            <w:pPr>
              <w:jc w:val="left"/>
            </w:pPr>
            <w:r>
              <w:rPr>
                <w:rFonts w:ascii="Calibri" w:hAnsi="Calibri"/>
                <w:sz w:val="18"/>
              </w:rPr>
              <w:t>- geom: GEOMETRY(Point, 4326)                     - persistence_score, recurrence_rate</w:t>
            </w:r>
          </w:p>
        </w:tc>
      </w:tr>
      <w:tr>
        <w:tc>
          <w:tcPr>
            <w:tcW w:type="dxa" w:w="9792"/>
            <w:shd w:fill="F8F9FA"/>
            <w:tcMar>
              <w:top w:w="100" w:type="dxa"/>
              <w:bottom w:w="100" w:type="dxa"/>
              <w:left w:w="140" w:type="dxa"/>
              <w:right w:w="140" w:type="dxa"/>
            </w:tcMar>
          </w:tcPr>
          <w:p>
            <w:pPr>
              <w:jc w:val="left"/>
            </w:pPr>
            <w:r>
              <w:rPr>
                <w:rFonts w:ascii="Calibri" w:hAnsi="Calibri"/>
                <w:sz w:val="18"/>
              </w:rPr>
              <w:t>│                                           - dist_to_industrial_m</w:t>
            </w:r>
          </w:p>
        </w:tc>
      </w:tr>
      <w:tr>
        <w:tc>
          <w:tcPr>
            <w:tcW w:type="dxa" w:w="9792"/>
            <w:shd w:fill="FFFFFF"/>
            <w:tcMar>
              <w:top w:w="100" w:type="dxa"/>
              <w:bottom w:w="100" w:type="dxa"/>
              <w:left w:w="140" w:type="dxa"/>
              <w:right w:w="140" w:type="dxa"/>
            </w:tcMar>
          </w:tcPr>
          <w:p>
            <w:pPr>
              <w:jc w:val="left"/>
            </w:pPr>
            <w:r>
              <w:rPr>
                <w:rFonts w:ascii="Calibri" w:hAnsi="Calibri"/>
                <w:sz w:val="18"/>
              </w:rPr>
              <w:t>├──► [model_predictions]                    - dist_to_power_m, dist_to_mine_m</w:t>
            </w:r>
          </w:p>
        </w:tc>
      </w:tr>
      <w:tr>
        <w:tc>
          <w:tcPr>
            <w:tcW w:type="dxa" w:w="9792"/>
            <w:shd w:fill="F8F9FA"/>
            <w:tcMar>
              <w:top w:w="100" w:type="dxa"/>
              <w:bottom w:w="100" w:type="dxa"/>
              <w:left w:w="140" w:type="dxa"/>
              <w:right w:w="140" w:type="dxa"/>
            </w:tcMar>
          </w:tcPr>
          <w:p>
            <w:pPr>
              <w:jc w:val="left"/>
            </w:pPr>
            <w:r>
              <w:rPr>
                <w:rFonts w:ascii="Calibri" w:hAnsi="Calibri"/>
                <w:sz w:val="18"/>
              </w:rPr>
              <w:t>│     - predicted_class                     - forest_coverage_pct</w:t>
            </w:r>
          </w:p>
        </w:tc>
      </w:tr>
      <w:tr>
        <w:tc>
          <w:tcPr>
            <w:tcW w:type="dxa" w:w="9792"/>
            <w:shd w:fill="FFFFFF"/>
            <w:tcMar>
              <w:top w:w="100" w:type="dxa"/>
              <w:bottom w:w="100" w:type="dxa"/>
              <w:left w:w="140" w:type="dxa"/>
              <w:right w:w="140" w:type="dxa"/>
            </w:tcMar>
          </w:tcPr>
          <w:p>
            <w:pPr>
              <w:jc w:val="left"/>
            </w:pPr>
            <w:r>
              <w:rPr>
                <w:rFonts w:ascii="Calibri" w:hAnsi="Calibri"/>
                <w:sz w:val="18"/>
              </w:rPr>
              <w:t>│     - raw_probability, calibrated_prob    - feature_vector: JSONB</w:t>
            </w:r>
          </w:p>
        </w:tc>
      </w:tr>
      <w:tr>
        <w:tc>
          <w:tcPr>
            <w:tcW w:type="dxa" w:w="9792"/>
            <w:shd w:fill="F8F9FA"/>
            <w:tcMar>
              <w:top w:w="100" w:type="dxa"/>
              <w:bottom w:w="100" w:type="dxa"/>
              <w:left w:w="140" w:type="dxa"/>
              <w:right w:w="140" w:type="dxa"/>
            </w:tcMar>
          </w:tcPr>
          <w:p>
            <w:pPr>
              <w:jc w:val="left"/>
            </w:pPr>
            <w:r>
              <w:rPr>
                <w:rFonts w:ascii="Calibri" w:hAnsi="Calibri"/>
                <w:sz w:val="18"/>
              </w:rPr>
              <w:t>│     - shap_values: JSONB                           │</w:t>
            </w:r>
          </w:p>
        </w:tc>
      </w:tr>
      <w:tr>
        <w:tc>
          <w:tcPr>
            <w:tcW w:type="dxa" w:w="9792"/>
            <w:shd w:fill="FFFFFF"/>
            <w:tcMar>
              <w:top w:w="100" w:type="dxa"/>
              <w:bottom w:w="100" w:type="dxa"/>
              <w:left w:w="140" w:type="dxa"/>
              <w:right w:w="140" w:type="dxa"/>
            </w:tcMar>
          </w:tcPr>
          <w:p>
            <w:pPr>
              <w:jc w:val="left"/>
            </w:pPr>
            <w:r>
              <w:rPr>
                <w:rFonts w:ascii="Calibri" w:hAnsi="Calibri"/>
                <w:sz w:val="18"/>
              </w:rPr>
              <w:t>│                                                    ▼</w:t>
            </w:r>
          </w:p>
        </w:tc>
      </w:tr>
      <w:tr>
        <w:tc>
          <w:tcPr>
            <w:tcW w:type="dxa" w:w="9792"/>
            <w:shd w:fill="F8F9FA"/>
            <w:tcMar>
              <w:top w:w="100" w:type="dxa"/>
              <w:bottom w:w="100" w:type="dxa"/>
              <w:left w:w="140" w:type="dxa"/>
              <w:right w:w="140" w:type="dxa"/>
            </w:tcMar>
          </w:tcPr>
          <w:p>
            <w:pPr>
              <w:jc w:val="left"/>
            </w:pPr>
            <w:r>
              <w:rPr>
                <w:rFonts w:ascii="Calibri" w:hAnsi="Calibri"/>
                <w:sz w:val="18"/>
              </w:rPr>
              <w:t>├──► [risk_scores]                         [alerts] (86 rows)</w:t>
            </w:r>
          </w:p>
        </w:tc>
      </w:tr>
      <w:tr>
        <w:tc>
          <w:tcPr>
            <w:tcW w:type="dxa" w:w="9792"/>
            <w:shd w:fill="FFFFFF"/>
            <w:tcMar>
              <w:top w:w="100" w:type="dxa"/>
              <w:bottom w:w="100" w:type="dxa"/>
              <w:left w:w="140" w:type="dxa"/>
              <w:right w:w="140" w:type="dxa"/>
            </w:tcMar>
          </w:tcPr>
          <w:p>
            <w:pPr>
              <w:jc w:val="left"/>
            </w:pPr>
            <w:r>
              <w:rPr>
                <w:rFonts w:ascii="Calibri" w:hAnsi="Calibri"/>
                <w:sz w:val="18"/>
              </w:rPr>
              <w:t>│     - overall_risk_score (0-100)          - id: UUID PK</w:t>
            </w:r>
          </w:p>
        </w:tc>
      </w:tr>
      <w:tr>
        <w:tc>
          <w:tcPr>
            <w:tcW w:type="dxa" w:w="9792"/>
            <w:shd w:fill="F8F9FA"/>
            <w:tcMar>
              <w:top w:w="100" w:type="dxa"/>
              <w:bottom w:w="100" w:type="dxa"/>
              <w:left w:w="140" w:type="dxa"/>
              <w:right w:w="140" w:type="dxa"/>
            </w:tcMar>
          </w:tcPr>
          <w:p>
            <w:pPr>
              <w:jc w:val="left"/>
            </w:pPr>
            <w:r>
              <w:rPr>
                <w:rFonts w:ascii="Calibri" w:hAnsi="Calibri"/>
                <w:sz w:val="18"/>
              </w:rPr>
              <w:t>│     - risk_level (LOW..CRITICAL)          - event_id: UUID FK</w:t>
            </w:r>
          </w:p>
        </w:tc>
      </w:tr>
      <w:tr>
        <w:tc>
          <w:tcPr>
            <w:tcW w:type="dxa" w:w="9792"/>
            <w:shd w:fill="FFFFFF"/>
            <w:tcMar>
              <w:top w:w="100" w:type="dxa"/>
              <w:bottom w:w="100" w:type="dxa"/>
              <w:left w:w="140" w:type="dxa"/>
              <w:right w:w="140" w:type="dxa"/>
            </w:tcMar>
          </w:tcPr>
          <w:p>
            <w:pPr>
              <w:jc w:val="left"/>
            </w:pPr>
            <w:r>
              <w:rPr>
                <w:rFonts w:ascii="Calibri" w:hAnsi="Calibri"/>
                <w:sz w:val="18"/>
              </w:rPr>
              <w:t>│     - intensity, asset, ecology subscores - routing_tier, alert_level</w:t>
            </w:r>
          </w:p>
        </w:tc>
      </w:tr>
      <w:tr>
        <w:tc>
          <w:tcPr>
            <w:tcW w:type="dxa" w:w="9792"/>
            <w:shd w:fill="F8F9FA"/>
            <w:tcMar>
              <w:top w:w="100" w:type="dxa"/>
              <w:bottom w:w="100" w:type="dxa"/>
              <w:left w:w="140" w:type="dxa"/>
              <w:right w:w="140" w:type="dxa"/>
            </w:tcMar>
          </w:tcPr>
          <w:p>
            <w:pPr>
              <w:jc w:val="left"/>
            </w:pPr>
            <w:r>
              <w:rPr>
                <w:rFonts w:ascii="Calibri" w:hAnsi="Calibri"/>
                <w:sz w:val="18"/>
              </w:rPr>
              <w:t>│                                           - status (NEW..CLOSED)</w:t>
            </w:r>
          </w:p>
        </w:tc>
      </w:tr>
      <w:tr>
        <w:tc>
          <w:tcPr>
            <w:tcW w:type="dxa" w:w="9792"/>
            <w:shd w:fill="FFFFFF"/>
            <w:tcMar>
              <w:top w:w="100" w:type="dxa"/>
              <w:bottom w:w="100" w:type="dxa"/>
              <w:left w:w="140" w:type="dxa"/>
              <w:right w:w="140" w:type="dxa"/>
            </w:tcMar>
          </w:tcPr>
          <w:p>
            <w:pPr>
              <w:jc w:val="left"/>
            </w:pPr>
            <w:r>
              <w:rPr>
                <w:rFonts w:ascii="Calibri" w:hAnsi="Calibri"/>
                <w:sz w:val="18"/>
              </w:rPr>
              <w:t>▼                                           - is_operational_dispatch: BOOL</w:t>
            </w:r>
          </w:p>
        </w:tc>
      </w:tr>
      <w:tr>
        <w:tc>
          <w:tcPr>
            <w:tcW w:type="dxa" w:w="9792"/>
            <w:shd w:fill="F8F9FA"/>
            <w:tcMar>
              <w:top w:w="100" w:type="dxa"/>
              <w:bottom w:w="100" w:type="dxa"/>
              <w:left w:w="140" w:type="dxa"/>
              <w:right w:w="140" w:type="dxa"/>
            </w:tcMar>
          </w:tcPr>
          <w:p>
            <w:pPr>
              <w:jc w:val="left"/>
            </w:pPr>
            <w:r>
              <w:rPr>
                <w:rFonts w:ascii="Calibri" w:hAnsi="Calibri"/>
                <w:sz w:val="18"/>
              </w:rPr>
              <w:t>[alert_audit_logs] &amp; [verification_records]                 │</w:t>
            </w:r>
          </w:p>
        </w:tc>
      </w:tr>
      <w:tr>
        <w:tc>
          <w:tcPr>
            <w:tcW w:type="dxa" w:w="9792"/>
            <w:shd w:fill="FFFFFF"/>
            <w:tcMar>
              <w:top w:w="100" w:type="dxa"/>
              <w:bottom w:w="100" w:type="dxa"/>
              <w:left w:w="140" w:type="dxa"/>
              <w:right w:w="140" w:type="dxa"/>
            </w:tcMar>
          </w:tcPr>
          <w:p>
            <w:pPr>
              <w:jc w:val="left"/>
            </w:pPr>
            <w:r>
              <w:rPr>
                <w:rFonts w:ascii="Calibri" w:hAnsi="Calibri"/>
                <w:sz w:val="18"/>
              </w:rPr>
              <w:t>- Full HITL analyst review trails                          ▼</w:t>
            </w:r>
          </w:p>
        </w:tc>
      </w:tr>
      <w:tr>
        <w:tc>
          <w:tcPr>
            <w:tcW w:type="dxa" w:w="9792"/>
            <w:shd w:fill="F8F9FA"/>
            <w:tcMar>
              <w:top w:w="100" w:type="dxa"/>
              <w:bottom w:w="100" w:type="dxa"/>
              <w:left w:w="140" w:type="dxa"/>
              <w:right w:w="140" w:type="dxa"/>
            </w:tcMar>
          </w:tcPr>
          <w:p>
            <w:pPr>
              <w:jc w:val="left"/>
            </w:pPr>
            <w:r>
              <w:rPr>
                <w:rFonts w:ascii="Calibri" w:hAnsi="Calibri"/>
                <w:sz w:val="18"/>
              </w:rPr>
              <w:t>- Immutable event decision history               [data_ingestion_jobs]</w:t>
            </w:r>
          </w:p>
        </w:tc>
      </w:tr>
    </w:tbl>
    <w:p>
      <w:pPr>
        <w:spacing w:after="160"/>
      </w:pPr>
    </w:p>
    <w:p>
      <w:pPr>
        <w:spacing w:after="120" w:line="276" w:lineRule="auto"/>
      </w:pPr>
      <w:r>
        <w:rPr>
          <w:sz w:val="21"/>
        </w:rPr>
        <w:t>+-----------------------------------------------------------------------------------------+</w:t>
      </w:r>
    </w:p>
    <w:p>
      <w:pPr>
        <w:pStyle w:val="Heading2"/>
        <w:spacing w:before="240" w:after="120"/>
      </w:pPr>
      <w:r>
        <w:t>8.2 Spatial Indexing &amp; Bounding-Box Optimization</w:t>
      </w:r>
    </w:p>
    <w:p>
      <w:pPr>
        <w:spacing w:after="120" w:line="276" w:lineRule="auto"/>
      </w:pPr>
      <w:r>
        <w:rPr>
          <w:sz w:val="21"/>
        </w:rPr>
        <w:t>All geometry columns (geom) are indexed using Generalized Search Trees (GIST). Spatial containment and distance calculations utilize spatial indexing via:</w:t>
      </w:r>
    </w:p>
    <w:p>
      <w:pPr>
        <w:spacing w:after="120" w:line="276" w:lineRule="auto"/>
      </w:pPr>
      <w:r>
        <w:rPr>
          <w:sz w:val="21"/>
        </w:rPr>
        <w:t>* ST_DWithin(geom1, geom2, distance_degrees)</w:t>
      </w:r>
    </w:p>
    <w:p>
      <w:pPr>
        <w:spacing w:after="120" w:line="276" w:lineRule="auto"/>
      </w:pPr>
      <w:r>
        <w:rPr>
          <w:sz w:val="21"/>
        </w:rPr>
        <w:t>* ST_Distance(geom1::geography, geom2::geography) for exact geodesic meter calculations</w:t>
      </w:r>
    </w:p>
    <w:p>
      <w:pPr>
        <w:spacing w:after="120" w:line="276" w:lineRule="auto"/>
      </w:pPr>
      <w:r>
        <w:rPr>
          <w:sz w:val="21"/>
        </w:rPr>
        <w:t>* ST_Intersects(geom, polygon)</w:t>
      </w:r>
    </w:p>
    <w:p>
      <w:pPr>
        <w:spacing w:after="120" w:line="276" w:lineRule="auto"/>
      </w:pPr>
      <w:r>
        <w:rPr>
          <w:sz w:val="21"/>
        </w:rPr>
        <w:t>* ST_MakeEnvelope(min_lon, min_lat, max_lon, max_lat, 4326) for client viewport bounding-box clipping</w:t>
      </w:r>
    </w:p>
    <w:p>
      <w:pPr>
        <w:pStyle w:val="Heading1"/>
        <w:spacing w:before="360" w:after="160"/>
      </w:pPr>
      <w:r>
        <w:t>9. Geospatial Intelligence Layer</w:t>
      </w:r>
    </w:p>
    <w:p>
      <w:pPr>
        <w:spacing w:after="120" w:line="276" w:lineRule="auto"/>
      </w:pPr>
      <w:r>
        <w:rPr>
          <w:sz w:val="21"/>
        </w:rPr>
        <w:t>The Geospatial Intelligence (GEOINT) layer unifies spatial entities across disparate scales:</w:t>
      </w:r>
    </w:p>
    <w:p>
      <w:pPr>
        <w:spacing w:after="120" w:line="276" w:lineRule="auto"/>
      </w:pPr>
      <w:r>
        <w:rPr>
          <w:sz w:val="21"/>
        </w:rPr>
        <w:t>[Satellite Thermal Coordinates: Point (Lat, Lon)]</w:t>
      </w:r>
    </w:p>
    <w:p>
      <w:pPr>
        <w:spacing w:after="120" w:line="276" w:lineRule="auto"/>
      </w:pPr>
      <w:r>
        <w:rPr>
          <w:sz w:val="21"/>
        </w:rPr>
        <w:t>│</w:t>
      </w:r>
    </w:p>
    <w:p>
      <w:pPr>
        <w:spacing w:after="120" w:line="276" w:lineRule="auto"/>
      </w:pPr>
      <w:r>
        <w:rPr>
          <w:sz w:val="21"/>
        </w:rPr>
        <w:t>├──► Geodesic Radius Search (5km / 15km)</w:t>
      </w:r>
    </w:p>
    <w:p>
      <w:pPr>
        <w:spacing w:after="120" w:line="276" w:lineRule="auto"/>
      </w:pPr>
      <w:r>
        <w:rPr>
          <w:sz w:val="21"/>
        </w:rPr>
        <w:t>│     ├── Nearest Industrial Facility (OSM)</w:t>
      </w:r>
    </w:p>
    <w:p>
      <w:pPr>
        <w:spacing w:after="120" w:line="276" w:lineRule="auto"/>
      </w:pPr>
      <w:r>
        <w:rPr>
          <w:sz w:val="21"/>
        </w:rPr>
        <w:t>│     ├── Nearest CEA Thermal / Gas Power Station</w:t>
      </w:r>
    </w:p>
    <w:p>
      <w:pPr>
        <w:spacing w:after="120" w:line="276" w:lineRule="auto"/>
      </w:pPr>
      <w:r>
        <w:rPr>
          <w:sz w:val="21"/>
        </w:rPr>
        <w:t>│     └── Nearest IBM Coal / Mineral Mining Lease</w:t>
      </w:r>
    </w:p>
    <w:p>
      <w:pPr>
        <w:spacing w:after="120" w:line="276" w:lineRule="auto"/>
      </w:pPr>
      <w:r>
        <w:rPr>
          <w:sz w:val="21"/>
        </w:rPr>
        <w:t>│</w:t>
      </w:r>
    </w:p>
    <w:p>
      <w:pPr>
        <w:spacing w:after="120" w:line="276" w:lineRule="auto"/>
      </w:pPr>
      <w:r>
        <w:rPr>
          <w:sz w:val="21"/>
        </w:rPr>
        <w:t>├──► Polygonal Containment &amp; Buffer Intersections</w:t>
      </w:r>
    </w:p>
    <w:p>
      <w:pPr>
        <w:spacing w:after="120" w:line="276" w:lineRule="auto"/>
      </w:pPr>
      <w:r>
        <w:rPr>
          <w:sz w:val="21"/>
        </w:rPr>
        <w:t>│     ├── WII Protected Areas (National Parks / Tiger Reserves)</w:t>
      </w:r>
    </w:p>
    <w:p>
      <w:pPr>
        <w:spacing w:after="120" w:line="276" w:lineRule="auto"/>
      </w:pPr>
      <w:r>
        <w:rPr>
          <w:sz w:val="21"/>
        </w:rPr>
        <w:t>│     ├── 10km Eco-Sensitive Zone (ESZ) Buffer Ring</w:t>
      </w:r>
    </w:p>
    <w:p>
      <w:pPr>
        <w:spacing w:after="120" w:line="276" w:lineRule="auto"/>
      </w:pPr>
      <w:r>
        <w:rPr>
          <w:sz w:val="21"/>
        </w:rPr>
        <w:t>│     └── ISRO Bhuvan Land Use / Land Cover (LULC) Classification</w:t>
      </w:r>
    </w:p>
    <w:p>
      <w:pPr>
        <w:spacing w:after="120" w:line="276" w:lineRule="auto"/>
      </w:pPr>
      <w:r>
        <w:rPr>
          <w:sz w:val="21"/>
        </w:rPr>
        <w:t>│</w:t>
      </w:r>
    </w:p>
    <w:p>
      <w:pPr>
        <w:spacing w:after="120" w:line="276" w:lineRule="auto"/>
      </w:pPr>
      <w:r>
        <w:rPr>
          <w:sz w:val="21"/>
        </w:rPr>
        <w:t>└──► Administrative Hierarchy Resolution</w:t>
      </w:r>
    </w:p>
    <w:p>
      <w:pPr>
        <w:spacing w:after="120" w:line="276" w:lineRule="auto"/>
      </w:pPr>
      <w:r>
        <w:rPr>
          <w:sz w:val="21"/>
        </w:rPr>
        <w:t>├── State / Union Territory Boundary (Admin Level 1)</w:t>
      </w:r>
    </w:p>
    <w:p>
      <w:pPr>
        <w:spacing w:after="120" w:line="276" w:lineRule="auto"/>
      </w:pPr>
      <w:r>
        <w:rPr>
          <w:sz w:val="21"/>
        </w:rPr>
        <w:t>├── District Boundary (Admin Level 2)</w:t>
      </w:r>
    </w:p>
    <w:p>
      <w:pPr>
        <w:spacing w:after="120" w:line="276" w:lineRule="auto"/>
      </w:pPr>
      <w:r>
        <w:rPr>
          <w:sz w:val="21"/>
        </w:rPr>
        <w:t>└── FSI ISFR District Canopy Density Context</w:t>
      </w:r>
    </w:p>
    <w:p>
      <w:pPr>
        <w:spacing w:after="120" w:line="276" w:lineRule="auto"/>
      </w:pPr>
      <w:r>
        <w:rPr>
          <w:sz w:val="21"/>
        </w:rPr>
        <w:t>This spatial fusion converts raw sensor data into an integrated 7-layer operational context.</w:t>
      </w:r>
    </w:p>
    <w:p>
      <w:pPr>
        <w:pStyle w:val="Heading1"/>
        <w:spacing w:before="360" w:after="160"/>
      </w:pPr>
      <w:r>
        <w:t>10. Thermal Event Detection and Clustering</w:t>
      </w:r>
    </w:p>
    <w:p>
      <w:pPr>
        <w:spacing w:after="120" w:line="276" w:lineRule="auto"/>
      </w:pPr>
      <w:r>
        <w:rPr>
          <w:sz w:val="21"/>
        </w:rPr>
        <w:t>Spaceborne radiometers often record multiple saturated or adjacent pixels for a single physical combustion event, or observe the same long-duration fire over consecutive orbital passes. Treating each pixel as an independent alert causes severe fragmentation.</w:t>
      </w:r>
    </w:p>
    <w:p>
      <w:pPr>
        <w:spacing w:after="120" w:line="276" w:lineRule="auto"/>
      </w:pPr>
      <w:r>
        <w:rPr>
          <w:sz w:val="21"/>
        </w:rPr>
        <w:t>AGNI-NETRA executes Incremental Spatiotemporal DBSCAN Clustering:</w:t>
      </w:r>
    </w:p>
    <w:p>
      <w:pPr>
        <w:spacing w:before="80" w:after="120"/>
        <w:jc w:val="center"/>
      </w:pPr>
      <w:r>
        <w:rPr>
          <w:rFonts w:ascii="Cambria Math" w:hAnsi="Cambria Math"/>
          <w:i/>
          <w:sz w:val="22"/>
        </w:rPr>
        <w:t>\text{DBSCAN}(\mathcal{S}, \epsilon = 0.015^\circ \approx 1.66\text{ km}, \text{MinPts} = 3, \Delta t \le 48\text{ hours})</w:t>
      </w:r>
    </w:p>
    <w:p>
      <w:pPr>
        <w:spacing w:after="120" w:line="276" w:lineRule="auto"/>
      </w:pPr>
      <w:r>
        <w:rPr>
          <w:sz w:val="21"/>
        </w:rPr>
        <w:t>Two thermal observations s_a, s_b belong to the same spatiotemporal cluster if:</w:t>
      </w:r>
    </w:p>
    <w:p>
      <w:pPr>
        <w:spacing w:before="80" w:after="120"/>
        <w:jc w:val="center"/>
      </w:pPr>
      <w:r>
        <w:rPr>
          <w:rFonts w:ascii="Cambria Math" w:hAnsi="Cambria Math"/>
          <w:i/>
          <w:sz w:val="22"/>
        </w:rPr>
        <w:t>D_{\text{spatial}}(s_a, s_b) \le \epsilon \quad \land \quad |t_a - t_b| \le \Delta t</w:t>
      </w:r>
    </w:p>
    <w:p>
      <w:pPr>
        <w:spacing w:after="120" w:line="276" w:lineRule="auto"/>
      </w:pPr>
      <w:r>
        <w:rPr>
          <w:sz w:val="21"/>
        </w:rPr>
        <w:t>where D_{\text{spatial}} is computed via the Great-Circle Haversine distance.</w:t>
      </w:r>
    </w:p>
    <w:p>
      <w:pPr>
        <w:spacing w:after="120" w:line="276" w:lineRule="auto"/>
      </w:pPr>
      <w:r>
        <w:rPr>
          <w:sz w:val="21"/>
        </w:rPr>
        <w:t>For each clustered event \mathcal{E}_j, the engine computes summary spatiotemporal statistics:</w:t>
      </w:r>
    </w:p>
    <w:p>
      <w:pPr>
        <w:spacing w:after="120" w:line="276" w:lineRule="auto"/>
      </w:pPr>
      <w:r>
        <w:rPr>
          <w:sz w:val="21"/>
        </w:rPr>
        <w:t>* Centroid Coordinates: \bar{\mathbf{c}}_j = \left( \frac{1}{|\mathcal{E}_j|} \sum \text{lat}_i, \frac{1}{|\mathcal{E}_j|} \sum \text{lon}_i \right)</w:t>
      </w:r>
    </w:p>
    <w:p>
      <w:pPr>
        <w:spacing w:after="120" w:line="276" w:lineRule="auto"/>
      </w:pPr>
      <w:r>
        <w:rPr>
          <w:sz w:val="21"/>
        </w:rPr>
        <w:t>* Peak Fire Radiative Power: \text{FRP}_{\max} = \max_{s_i \in \mathcal{E}_j} \text{FRP}_i</w:t>
      </w:r>
    </w:p>
    <w:p>
      <w:pPr>
        <w:spacing w:after="120" w:line="276" w:lineRule="auto"/>
      </w:pPr>
      <w:r>
        <w:rPr>
          <w:sz w:val="21"/>
        </w:rPr>
        <w:t>* Mean Fire Radiative Power: \text{FRP}_{\text{avg}} = \frac{1}{|\mathcal{E}_j|} \sum_{s_i \in \mathcal{E}_j} \text{FRP}_i</w:t>
      </w:r>
    </w:p>
    <w:p>
      <w:pPr>
        <w:spacing w:after="120" w:line="276" w:lineRule="auto"/>
      </w:pPr>
      <w:r>
        <w:rPr>
          <w:sz w:val="21"/>
        </w:rPr>
        <w:t>* Event Active Duration: \Delta T_j = t_{\text{last}} - t_{\text{first}}</w:t>
      </w:r>
    </w:p>
    <w:p>
      <w:pPr>
        <w:spacing w:after="120" w:line="276" w:lineRule="auto"/>
      </w:pPr>
      <w:r>
        <w:rPr>
          <w:sz w:val="21"/>
        </w:rPr>
        <w:t>* Observation Count: N_{\text{obs}} = |\mathcal{E}_j|</w:t>
      </w:r>
    </w:p>
    <w:p>
      <w:pPr>
        <w:pStyle w:val="Heading1"/>
        <w:spacing w:before="360" w:after="160"/>
      </w:pPr>
      <w:r>
        <w:t>11. Multi-Source Evidence Fusion</w:t>
      </w:r>
    </w:p>
    <w:p>
      <w:pPr>
        <w:spacing w:after="120" w:line="276" w:lineRule="auto"/>
      </w:pPr>
      <w:r>
        <w:rPr>
          <w:sz w:val="21"/>
        </w:rPr>
        <w:t>For each event \mathcal{E}_j, the Evidence Fusion Engine queries the PostGIS database to assemble an authoritative 7-layer evidence cascade:</w:t>
      </w:r>
    </w:p>
    <w:p>
      <w:pPr>
        <w:spacing w:after="120" w:line="276" w:lineRule="auto"/>
      </w:pPr>
      <w:r>
        <w:rPr>
          <w:sz w:val="21"/>
        </w:rPr>
        <w:t>graph TD</w:t>
      </w:r>
    </w:p>
    <w:p>
      <w:pPr>
        <w:spacing w:after="120" w:line="276" w:lineRule="auto"/>
      </w:pPr>
      <w:r>
        <w:rPr>
          <w:sz w:val="21"/>
        </w:rPr>
        <w:t>EVT[Thermal Event E_j] --&gt; L1[Layer 1: FIRMS Satellite Telemetry]</w:t>
      </w:r>
    </w:p>
    <w:p>
      <w:pPr>
        <w:spacing w:after="120" w:line="276" w:lineRule="auto"/>
      </w:pPr>
      <w:r>
        <w:rPr>
          <w:sz w:val="21"/>
        </w:rPr>
        <w:t>EVT --&gt; L2[Layer 2: Clustered Event Geometry &amp; Duration]</w:t>
      </w:r>
    </w:p>
    <w:p>
      <w:pPr>
        <w:spacing w:after="120" w:line="276" w:lineRule="auto"/>
      </w:pPr>
      <w:r>
        <w:rPr>
          <w:sz w:val="21"/>
        </w:rPr>
        <w:t>EVT --&gt; L3[Layer 3: Infrastructure Proximity Matrix]</w:t>
      </w:r>
    </w:p>
    <w:p>
      <w:pPr>
        <w:spacing w:after="120" w:line="276" w:lineRule="auto"/>
      </w:pPr>
      <w:r>
        <w:rPr>
          <w:sz w:val="21"/>
        </w:rPr>
        <w:t>EVT --&gt; L4[Layer 4: Ecological &amp; Forest Vulnerability Context]</w:t>
      </w:r>
    </w:p>
    <w:p>
      <w:pPr>
        <w:spacing w:after="120" w:line="276" w:lineRule="auto"/>
      </w:pPr>
      <w:r>
        <w:rPr>
          <w:sz w:val="21"/>
        </w:rPr>
        <w:t>EVT --&gt; L5[Layer 5: Calibrated ML Source Classification]</w:t>
      </w:r>
    </w:p>
    <w:p>
      <w:pPr>
        <w:spacing w:after="120" w:line="276" w:lineRule="auto"/>
      </w:pPr>
      <w:r>
        <w:rPr>
          <w:sz w:val="21"/>
        </w:rPr>
        <w:t>EVT --&gt; L6[Layer 6: Multi-Factor Fire Risk Score]</w:t>
      </w:r>
    </w:p>
    <w:p>
      <w:pPr>
        <w:spacing w:after="120" w:line="276" w:lineRule="auto"/>
      </w:pPr>
      <w:r>
        <w:rPr>
          <w:sz w:val="21"/>
        </w:rPr>
        <w:t>EVT --&gt; L7[Layer 7: Alert Routing &amp; Audit Lifecycle]</w:t>
      </w:r>
    </w:p>
    <w:p>
      <w:pPr>
        <w:spacing w:after="120" w:line="276" w:lineRule="auto"/>
      </w:pPr>
      <w:r>
        <w:rPr>
          <w:sz w:val="21"/>
        </w:rPr>
        <w:t>L1 --- D1[FRP, Brightness, Satellites, Day/Night]</w:t>
      </w:r>
    </w:p>
    <w:p>
      <w:pPr>
        <w:spacing w:after="120" w:line="276" w:lineRule="auto"/>
      </w:pPr>
      <w:r>
        <w:rPr>
          <w:sz w:val="21"/>
        </w:rPr>
        <w:t>L2 --- D2[Centroid, Radius, Duration, Count]</w:t>
      </w:r>
    </w:p>
    <w:p>
      <w:pPr>
        <w:spacing w:after="120" w:line="276" w:lineRule="auto"/>
      </w:pPr>
      <w:r>
        <w:rPr>
          <w:sz w:val="21"/>
        </w:rPr>
        <w:t>L3 --- D3[Dist to OSM Plants, CEA Stations, IBM Mines]</w:t>
      </w:r>
    </w:p>
    <w:p>
      <w:pPr>
        <w:spacing w:after="120" w:line="276" w:lineRule="auto"/>
      </w:pPr>
      <w:r>
        <w:rPr>
          <w:sz w:val="21"/>
        </w:rPr>
        <w:t>L4 --- D4[FSI Canopy %, WII PA/ESZ Status, Bhuvan LULC]</w:t>
      </w:r>
    </w:p>
    <w:p>
      <w:pPr>
        <w:spacing w:after="120" w:line="276" w:lineRule="auto"/>
      </w:pPr>
      <w:r>
        <w:rPr>
          <w:sz w:val="21"/>
        </w:rPr>
        <w:t>L5 --- D5[Predicted Class, Platt Probabilities, SHAP Waterfall]</w:t>
      </w:r>
    </w:p>
    <w:p>
      <w:pPr>
        <w:spacing w:after="120" w:line="276" w:lineRule="auto"/>
      </w:pPr>
      <w:r>
        <w:rPr>
          <w:sz w:val="21"/>
        </w:rPr>
        <w:t>L6 --- D6[0-100 Score, Severity Level, Component Weights]</w:t>
      </w:r>
    </w:p>
    <w:p>
      <w:pPr>
        <w:spacing w:after="120" w:line="276" w:lineRule="auto"/>
      </w:pPr>
      <w:r>
        <w:rPr>
          <w:sz w:val="21"/>
        </w:rPr>
        <w:t>L7 --- D7[Tri-Tier Route, Analyst Actions, Verification Trail]</w:t>
      </w:r>
    </w:p>
    <w:p>
      <w:pPr>
        <w:pStyle w:val="Heading1"/>
        <w:spacing w:before="360" w:after="160"/>
      </w:pPr>
      <w:r>
        <w:t>12. Feature Engineering</w:t>
      </w:r>
    </w:p>
    <w:p>
      <w:pPr>
        <w:spacing w:after="120" w:line="276" w:lineRule="auto"/>
      </w:pPr>
      <w:r>
        <w:rPr>
          <w:sz w:val="21"/>
        </w:rPr>
        <w:t>The feature engineering pipeline transforms raw spatial and temporal data into a 26-dimensional standardized vector \mathbf{x} \in \mathbb{R}^{26}.</w:t>
      </w:r>
    </w:p>
    <w:p>
      <w:pPr>
        <w:pStyle w:val="Heading2"/>
        <w:spacing w:before="240" w:after="120"/>
      </w:pPr>
      <w:r>
        <w:t>12.1 Mathematical Feature Formulations</w:t>
      </w:r>
    </w:p>
    <w:p>
      <w:pPr>
        <w:spacing w:after="120" w:line="276" w:lineRule="auto"/>
      </w:pPr>
      <w:r>
        <w:rPr>
          <w:sz w:val="21"/>
        </w:rPr>
        <w:t>1. Maximum Fire Radiative Power:</w:t>
      </w:r>
    </w:p>
    <w:p>
      <w:pPr>
        <w:spacing w:before="80" w:after="120"/>
        <w:jc w:val="center"/>
      </w:pPr>
      <w:r>
        <w:rPr>
          <w:rFonts w:ascii="Cambria Math" w:hAnsi="Cambria Math"/>
          <w:i/>
          <w:sz w:val="22"/>
        </w:rPr>
        <w:t>f_1 = \text{frp\_max} = \max_{s_i \in \mathcal{E}} \text{FRP}_i</w:t>
      </w:r>
    </w:p>
    <w:p>
      <w:pPr>
        <w:spacing w:after="120" w:line="276" w:lineRule="auto"/>
      </w:pPr>
      <w:r>
        <w:rPr>
          <w:sz w:val="21"/>
        </w:rPr>
        <w:t>2. Average Fire Radiative Power:</w:t>
      </w:r>
    </w:p>
    <w:p>
      <w:pPr>
        <w:spacing w:before="80" w:after="120"/>
        <w:jc w:val="center"/>
      </w:pPr>
      <w:r>
        <w:rPr>
          <w:rFonts w:ascii="Cambria Math" w:hAnsi="Cambria Math"/>
          <w:i/>
          <w:sz w:val="22"/>
        </w:rPr>
        <w:t>f_2 = \text{frp\_avg} = \frac{1}{|\mathcal{E}|} \sum_{s_i \in \mathcal{E}} \text{FRP}_i</w:t>
      </w:r>
    </w:p>
    <w:p>
      <w:pPr>
        <w:spacing w:after="120" w:line="276" w:lineRule="auto"/>
      </w:pPr>
      <w:r>
        <w:rPr>
          <w:sz w:val="21"/>
        </w:rPr>
        <w:t>3. Maximum Brightness Temperature (Kelvin):</w:t>
      </w:r>
    </w:p>
    <w:p>
      <w:pPr>
        <w:spacing w:before="80" w:after="120"/>
        <w:jc w:val="center"/>
      </w:pPr>
      <w:r>
        <w:rPr>
          <w:rFonts w:ascii="Cambria Math" w:hAnsi="Cambria Math"/>
          <w:i/>
          <w:sz w:val="22"/>
        </w:rPr>
        <w:t>f_4 = \text{bright\_max} = \max_{s_i \in \mathcal{E}} T_{b,i}</w:t>
      </w:r>
    </w:p>
    <w:p>
      <w:pPr>
        <w:spacing w:after="120" w:line="276" w:lineRule="auto"/>
      </w:pPr>
      <w:r>
        <w:rPr>
          <w:sz w:val="21"/>
        </w:rPr>
        <w:t>4. Point-in-Time 30-Day Persistence Score:</w:t>
      </w:r>
    </w:p>
    <w:p>
      <w:pPr>
        <w:spacing w:after="120" w:line="276" w:lineRule="auto"/>
      </w:pPr>
      <w:r>
        <w:rPr>
          <w:sz w:val="21"/>
        </w:rPr>
        <w:t>Measures the fraction of days with active thermal detections within a 5 km radius over the preceding 30 days:</w:t>
      </w:r>
    </w:p>
    <w:p>
      <w:pPr>
        <w:spacing w:before="80" w:after="120"/>
        <w:jc w:val="center"/>
      </w:pPr>
      <w:r>
        <w:rPr>
          <w:rFonts w:ascii="Cambria Math" w:hAnsi="Cambria Math"/>
          <w:i/>
          <w:sz w:val="22"/>
        </w:rPr>
        <w:t>f_7 = \text{persistence\_score} = \frac{|\{ d \in [t - 30\text{d}, t) \mid \text{Count}(\text{detections on day } d) &gt; 0 \}|}{30.0}</w:t>
      </w:r>
    </w:p>
    <w:p>
      <w:pPr>
        <w:spacing w:after="120" w:line="276" w:lineRule="auto"/>
      </w:pPr>
      <w:r>
        <w:rPr>
          <w:sz w:val="21"/>
        </w:rPr>
        <w:t>5. Lookback-Normalized Recurrence Rate:</w:t>
      </w:r>
    </w:p>
    <w:p>
      <w:pPr>
        <w:spacing w:after="120" w:line="276" w:lineRule="auto"/>
      </w:pPr>
      <w:r>
        <w:rPr>
          <w:sz w:val="21"/>
        </w:rPr>
        <w:t>Quantifies annualized observation density normalized for available database lookback depth:</w:t>
      </w:r>
    </w:p>
    <w:p>
      <w:pPr>
        <w:spacing w:before="80" w:after="120"/>
        <w:jc w:val="center"/>
      </w:pPr>
      <w:r>
        <w:rPr>
          <w:rFonts w:ascii="Cambria Math" w:hAnsi="Cambria Math"/>
          <w:i/>
          <w:sz w:val="22"/>
        </w:rPr>
        <w:t>f_8 = \text{recurrence\_rate} = \log\left( 1 + N_{365\text{d}} \times \frac{365.0}{\min(365, \text{days\_since\_archive\_start})} \right)</w:t>
      </w:r>
    </w:p>
    <w:p>
      <w:pPr>
        <w:spacing w:after="120" w:line="276" w:lineRule="auto"/>
      </w:pPr>
      <w:r>
        <w:rPr>
          <w:sz w:val="21"/>
        </w:rPr>
        <w:t>6. Baseline Deviation Ratio:</w:t>
      </w:r>
    </w:p>
    <w:p>
      <w:pPr>
        <w:spacing w:after="120" w:line="276" w:lineRule="auto"/>
      </w:pPr>
      <w:r>
        <w:rPr>
          <w:sz w:val="21"/>
        </w:rPr>
        <w:t>Measures thermal anomaly amplification relative to mature historical cell averages:</w:t>
      </w:r>
    </w:p>
    <w:p>
      <w:pPr>
        <w:spacing w:before="80" w:after="120"/>
        <w:jc w:val="center"/>
      </w:pPr>
      <w:r>
        <w:rPr>
          <w:rFonts w:ascii="Cambria Math" w:hAnsi="Cambria Math"/>
          <w:i/>
          <w:sz w:val="22"/>
        </w:rPr>
        <w:t>f_9 = \text{baseline\_deviation\_ratio} = \max\left( 1.0, \frac{N_{30\text{d}} + \epsilon}{\mu_{\text{historical\_30d}} + \epsilon} \right)</w:t>
      </w:r>
    </w:p>
    <w:p>
      <w:pPr>
        <w:spacing w:after="120" w:line="276" w:lineRule="auto"/>
      </w:pPr>
      <w:r>
        <w:rPr>
          <w:sz w:val="21"/>
        </w:rPr>
        <w:t>7. Proximity to Industrial Facility:</w:t>
      </w:r>
    </w:p>
    <w:p>
      <w:pPr>
        <w:spacing w:before="80" w:after="120"/>
        <w:jc w:val="center"/>
      </w:pPr>
      <w:r>
        <w:rPr>
          <w:rFonts w:ascii="Cambria Math" w:hAnsi="Cambria Math"/>
          <w:i/>
          <w:sz w:val="22"/>
        </w:rPr>
        <w:t>f_{10} = \text{dist\_to\_industrial\_m} = \min_{k \in \text{Facilities}} \text{ST\_Distance}(\text{Centroid}, \text{Fac}_k)</w:t>
      </w:r>
    </w:p>
    <w:p>
      <w:pPr>
        <w:spacing w:after="120" w:line="276" w:lineRule="auto"/>
      </w:pPr>
      <w:r>
        <w:rPr>
          <w:sz w:val="21"/>
        </w:rPr>
        <w:t>8. Proximity to CEA Power Station:</w:t>
      </w:r>
    </w:p>
    <w:p>
      <w:pPr>
        <w:spacing w:before="80" w:after="120"/>
        <w:jc w:val="center"/>
      </w:pPr>
      <w:r>
        <w:rPr>
          <w:rFonts w:ascii="Cambria Math" w:hAnsi="Cambria Math"/>
          <w:i/>
          <w:sz w:val="22"/>
        </w:rPr>
        <w:t>f_{11} = \text{dist\_to\_power\_m} = \min_{p \in \text{PowerStations}} \text{ST\_Distance}(\text{Centroid}, \text{Pow}_p)</w:t>
      </w:r>
    </w:p>
    <w:p>
      <w:pPr>
        <w:spacing w:after="120" w:line="276" w:lineRule="auto"/>
      </w:pPr>
      <w:r>
        <w:rPr>
          <w:sz w:val="21"/>
        </w:rPr>
        <w:t>9. Proximity to IBM Mining Lease:</w:t>
      </w:r>
    </w:p>
    <w:p>
      <w:pPr>
        <w:spacing w:before="80" w:after="120"/>
        <w:jc w:val="center"/>
      </w:pPr>
      <w:r>
        <w:rPr>
          <w:rFonts w:ascii="Cambria Math" w:hAnsi="Cambria Math"/>
          <w:i/>
          <w:sz w:val="22"/>
        </w:rPr>
        <w:t>f_{12} = \text{dist\_to\_mine\_m} = \min_{m \in \text{Mines}} \text{ST\_Distance}(\text{Centroid}, \text{Mine}_m)</w:t>
      </w:r>
    </w:p>
    <w:p>
      <w:pPr>
        <w:spacing w:after="120" w:line="276" w:lineRule="auto"/>
      </w:pPr>
      <w:r>
        <w:rPr>
          <w:sz w:val="21"/>
        </w:rPr>
        <w:t>10. Protected Area Intersection Flag &amp; Distance:</w:t>
      </w:r>
    </w:p>
    <w:p>
      <w:pPr>
        <w:spacing w:before="80" w:after="120"/>
        <w:jc w:val="center"/>
      </w:pPr>
      <w:r>
        <w:rPr>
          <w:rFonts w:ascii="Cambria Math" w:hAnsi="Cambria Math"/>
          <w:i/>
          <w:sz w:val="22"/>
        </w:rPr>
        <w:t>f_{15} = \text{in\_protected\_area} = \mathbb{I}(\text{ST\_Intersects}(\text{Centroid}, \bigcup \text{PA}))</w:t>
      </w:r>
    </w:p>
    <w:p>
      <w:pPr>
        <w:spacing w:before="80" w:after="120"/>
        <w:jc w:val="center"/>
      </w:pPr>
      <w:r>
        <w:rPr>
          <w:rFonts w:ascii="Cambria Math" w:hAnsi="Cambria Math"/>
          <w:i/>
          <w:sz w:val="22"/>
        </w:rPr>
        <w:t>f_{16} = \text{dist\_to\_pa\_m} = \min_{a \in \text{PA}} \text{ST\_Distance}(\text{Centroid}, \text{PA}_a)</w:t>
      </w:r>
    </w:p>
    <w:p>
      <w:pPr>
        <w:spacing w:after="120" w:line="276" w:lineRule="auto"/>
      </w:pPr>
      <w:r>
        <w:rPr>
          <w:sz w:val="21"/>
        </w:rPr>
        <w:t>11. FSI District Forest Canopy Density:</w:t>
      </w:r>
    </w:p>
    <w:p>
      <w:pPr>
        <w:spacing w:before="80" w:after="120"/>
        <w:jc w:val="center"/>
      </w:pPr>
      <w:r>
        <w:rPr>
          <w:rFonts w:ascii="Cambria Math" w:hAnsi="Cambria Math"/>
          <w:i/>
          <w:sz w:val="22"/>
        </w:rPr>
        <w:t>f_{17} = \text{forest\_coverage\_pct} = \frac{\text{Area}_{\text{VDF}} + \text{Area}_{\text{MDF}} + \text{Area}_{\text{OF}}}{\text{Area}_{\text{District}}} \times 100</w:t>
      </w:r>
    </w:p>
    <w:p>
      <w:pPr>
        <w:pStyle w:val="Heading2"/>
        <w:spacing w:before="240" w:after="120"/>
      </w:pPr>
      <w:r>
        <w:t>12.2 Anti-Leakage Proof &amp; Temporal Invariants</w:t>
      </w:r>
    </w:p>
    <w:p>
      <w:pPr>
        <w:spacing w:after="120" w:line="276" w:lineRule="auto"/>
      </w:pPr>
      <w:r>
        <w:rPr>
          <w:sz w:val="21"/>
        </w:rPr>
        <w:t>To prevent temporal data leakage, all spatial aggregations enforce the strict mathematical inequality:</w:t>
      </w:r>
    </w:p>
    <w:p>
      <w:pPr>
        <w:spacing w:before="80" w:after="120"/>
        <w:jc w:val="center"/>
      </w:pPr>
      <w:r>
        <w:rPr>
          <w:rFonts w:ascii="Cambria Math" w:hAnsi="Cambria Math"/>
          <w:i/>
          <w:sz w:val="22"/>
        </w:rPr>
        <w:t>t_{\text{observation}} &lt; t_{\text{event}}</w:t>
      </w:r>
    </w:p>
    <w:p>
      <w:pPr>
        <w:spacing w:after="120" w:line="276" w:lineRule="auto"/>
      </w:pPr>
      <w:r>
        <w:rPr>
          <w:sz w:val="21"/>
        </w:rPr>
        <w:t>Under no circumstance does the feature generator evaluate observations recorded at or after the event timestamp t_{\text{event}}.</w:t>
      </w:r>
    </w:p>
    <w:p>
      <w:pPr>
        <w:pStyle w:val="Heading1"/>
        <w:spacing w:before="360" w:after="160"/>
      </w:pPr>
      <w:r>
        <w:t>13. Machine-Learning Methodology</w:t>
      </w:r>
    </w:p>
    <w:p>
      <w:pPr>
        <w:spacing w:after="120" w:line="276" w:lineRule="auto"/>
      </w:pPr>
      <w:r>
        <w:rPr>
          <w:sz w:val="21"/>
        </w:rPr>
        <w:t>The machine-learning pipeline classifies thermal events into six operational source categories:</w:t>
      </w:r>
    </w:p>
    <w:p>
      <w:pPr>
        <w:spacing w:before="80" w:after="120"/>
        <w:jc w:val="center"/>
      </w:pPr>
      <w:r>
        <w:rPr>
          <w:rFonts w:ascii="Cambria Math" w:hAnsi="Cambria Math"/>
          <w:i/>
          <w:sz w:val="22"/>
        </w:rPr>
        <w:t>\mathcal{C} = \{\text{Industrial Fire}, \text{Gas Flare}, \text{Forest Fire}, \text{Agricultural Burning}, \text{Mining Activity}, \text{Other Thermal Source}\}</w:t>
      </w:r>
    </w:p>
    <w:p>
      <w:pPr>
        <w:pStyle w:val="Heading2"/>
        <w:spacing w:before="240" w:after="120"/>
      </w:pPr>
      <w:r>
        <w:t>13.1 Model Architectures Evaluated</w:t>
      </w:r>
    </w:p>
    <w:p>
      <w:pPr>
        <w:spacing w:after="120" w:line="276" w:lineRule="auto"/>
      </w:pPr>
      <w:r>
        <w:rPr>
          <w:sz w:val="21"/>
        </w:rPr>
        <w:t>1. Primary Champion Model: XGBoost Classifier (xgb-v3.0-real-candidate)</w:t>
      </w:r>
    </w:p>
    <w:p>
      <w:pPr>
        <w:spacing w:after="120" w:line="276" w:lineRule="auto"/>
      </w:pPr>
      <w:r>
        <w:rPr>
          <w:sz w:val="21"/>
        </w:rPr>
        <w:t>* Objective: multi:softprob</w:t>
      </w:r>
    </w:p>
    <w:p>
      <w:pPr>
        <w:spacing w:after="120" w:line="276" w:lineRule="auto"/>
      </w:pPr>
      <w:r>
        <w:rPr>
          <w:sz w:val="21"/>
        </w:rPr>
        <w:t>* Estimators: 300, Max Depth: 6, Learning Rate: 0.05, Subsample: 0.8, ColSample: 0.8.</w:t>
      </w:r>
    </w:p>
    <w:p>
      <w:pPr>
        <w:spacing w:after="120" w:line="276" w:lineRule="auto"/>
      </w:pPr>
      <w:r>
        <w:rPr>
          <w:sz w:val="21"/>
        </w:rPr>
        <w:t>2. Baseline Benchmark Model: Random Forest Classifier (rf-v3.0-real-candidate)</w:t>
      </w:r>
    </w:p>
    <w:p>
      <w:pPr>
        <w:spacing w:after="120" w:line="276" w:lineRule="auto"/>
      </w:pPr>
      <w:r>
        <w:rPr>
          <w:sz w:val="21"/>
        </w:rPr>
        <w:t>* Estimators: 300, Max Depth: 12, Min Samples Split: 5.</w:t>
      </w:r>
    </w:p>
    <w:p>
      <w:pPr>
        <w:pStyle w:val="Heading1"/>
        <w:spacing w:before="360" w:after="160"/>
      </w:pPr>
      <w:r>
        <w:t>14. Temporal and Spatial Validation</w:t>
      </w:r>
    </w:p>
    <w:p>
      <w:pPr>
        <w:spacing w:after="120" w:line="276" w:lineRule="auto"/>
      </w:pPr>
      <w:r>
        <w:rPr>
          <w:sz w:val="21"/>
        </w:rPr>
        <w:t>To ensure robust real-world generalization, we adopted a dual validation strategy:</w:t>
      </w:r>
    </w:p>
    <w:p>
      <w:pPr>
        <w:spacing w:after="120" w:line="276" w:lineRule="auto"/>
      </w:pPr>
      <w:r>
        <w:rPr>
          <w:sz w:val="21"/>
        </w:rPr>
        <w:t>1. 5-Fold Grouped Spatial Cross-Validation: Spatial clusters partitioned across state boundaries to evaluate geographic generalization.</w:t>
      </w:r>
    </w:p>
    <w:p>
      <w:pPr>
        <w:spacing w:after="120" w:line="276" w:lineRule="auto"/>
      </w:pPr>
      <w:r>
        <w:rPr>
          <w:sz w:val="21"/>
        </w:rPr>
        <w:t>2. Chronological Out-of-Distribution Frozen Test (2026 Operational Stream):</w:t>
      </w:r>
    </w:p>
    <w:p>
      <w:pPr>
        <w:spacing w:after="120" w:line="276" w:lineRule="auto"/>
      </w:pPr>
      <w:r>
        <w:rPr>
          <w:sz w:val="21"/>
        </w:rPr>
        <w:t>* Training Partition: Years 2022–2024 (N = 754 labeled events)</w:t>
      </w:r>
    </w:p>
    <w:p>
      <w:pPr>
        <w:spacing w:after="120" w:line="276" w:lineRule="auto"/>
      </w:pPr>
      <w:r>
        <w:rPr>
          <w:sz w:val="21"/>
        </w:rPr>
        <w:t>* Validation Partition: Year 2025 (N = 506 labeled events)</w:t>
      </w:r>
    </w:p>
    <w:p>
      <w:pPr>
        <w:spacing w:after="120" w:line="276" w:lineRule="auto"/>
      </w:pPr>
      <w:r>
        <w:rPr>
          <w:sz w:val="21"/>
        </w:rPr>
        <w:t>* Frozen Out-of-Distribution Test Partition: Year 2026 (N = 414 total events, N = 176 ground-truth verified events)</w:t>
      </w:r>
    </w:p>
    <w:p>
      <w:pPr>
        <w:pStyle w:val="Heading2"/>
        <w:spacing w:before="240" w:after="120"/>
      </w:pPr>
      <w:r>
        <w:t>14.1 5-Fold Spatial Cross-Validation Performance</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Mar>
              <w:top w:w="120" w:type="dxa"/>
              <w:bottom w:w="120" w:type="dxa"/>
              <w:left w:w="140" w:type="dxa"/>
              <w:right w:w="140" w:type="dxa"/>
            </w:tcMar>
          </w:tcPr>
          <w:p>
            <w:pPr>
              <w:jc w:val="left"/>
            </w:pPr>
            <w:r>
              <w:rPr>
                <w:rFonts w:ascii="Calibri" w:hAnsi="Calibri"/>
                <w:b/>
                <w:color w:val="FFFFFF"/>
                <w:sz w:val="19"/>
              </w:rPr>
              <w:t>CV Fold</w:t>
            </w:r>
          </w:p>
        </w:tc>
        <w:tc>
          <w:tcPr>
            <w:tcW w:type="dxa" w:w="1872"/>
            <w:shd w:fill="003366"/>
            <w:tcMar>
              <w:top w:w="120" w:type="dxa"/>
              <w:bottom w:w="120" w:type="dxa"/>
              <w:left w:w="140" w:type="dxa"/>
              <w:right w:w="140" w:type="dxa"/>
            </w:tcMar>
          </w:tcPr>
          <w:p>
            <w:pPr>
              <w:jc w:val="left"/>
            </w:pPr>
            <w:r>
              <w:rPr>
                <w:rFonts w:ascii="Calibri" w:hAnsi="Calibri"/>
                <w:b/>
                <w:color w:val="FFFFFF"/>
                <w:sz w:val="19"/>
              </w:rPr>
              <w:t>Geographic Focus</w:t>
            </w:r>
          </w:p>
        </w:tc>
        <w:tc>
          <w:tcPr>
            <w:tcW w:type="dxa" w:w="1872"/>
            <w:shd w:fill="003366"/>
            <w:tcMar>
              <w:top w:w="120" w:type="dxa"/>
              <w:bottom w:w="120" w:type="dxa"/>
              <w:left w:w="140" w:type="dxa"/>
              <w:right w:w="140" w:type="dxa"/>
            </w:tcMar>
          </w:tcPr>
          <w:p>
            <w:pPr>
              <w:jc w:val="left"/>
            </w:pPr>
            <w:r>
              <w:rPr>
                <w:rFonts w:ascii="Calibri" w:hAnsi="Calibri"/>
                <w:b/>
                <w:color w:val="FFFFFF"/>
                <w:sz w:val="19"/>
              </w:rPr>
              <w:t>Macro F1-Score</w:t>
            </w:r>
          </w:p>
        </w:tc>
        <w:tc>
          <w:tcPr>
            <w:tcW w:type="dxa" w:w="1872"/>
            <w:shd w:fill="003366"/>
            <w:tcMar>
              <w:top w:w="120" w:type="dxa"/>
              <w:bottom w:w="120" w:type="dxa"/>
              <w:left w:w="140" w:type="dxa"/>
              <w:right w:w="140" w:type="dxa"/>
            </w:tcMar>
          </w:tcPr>
          <w:p>
            <w:pPr>
              <w:jc w:val="left"/>
            </w:pPr>
            <w:r>
              <w:rPr>
                <w:rFonts w:ascii="Calibri" w:hAnsi="Calibri"/>
                <w:b/>
                <w:color w:val="FFFFFF"/>
                <w:sz w:val="19"/>
              </w:rPr>
              <w:t>Fold Accuracy</w:t>
            </w:r>
          </w:p>
        </w:tc>
        <w:tc>
          <w:tcPr>
            <w:tcW w:type="dxa" w:w="2016"/>
            <w:shd w:fill="003366"/>
            <w:tcMar>
              <w:top w:w="120" w:type="dxa"/>
              <w:bottom w:w="120" w:type="dxa"/>
              <w:left w:w="140" w:type="dxa"/>
              <w:right w:w="140" w:type="dxa"/>
            </w:tcMar>
          </w:tcPr>
          <w:p>
            <w:pPr>
              <w:jc w:val="left"/>
            </w:pPr>
            <w:r>
              <w:rPr>
                <w:rFonts w:ascii="Calibri" w:hAnsi="Calibri"/>
                <w:b/>
                <w:color w:val="FFFFFF"/>
                <w:sz w:val="19"/>
              </w:rPr>
              <w:t>Validation Status</w:t>
            </w:r>
          </w:p>
        </w:tc>
      </w:tr>
      <w:tr>
        <w:tc>
          <w:tcPr>
            <w:tcW w:type="dxa" w:w="2160"/>
            <w:shd w:fill="FFFFFF"/>
            <w:tcMar>
              <w:top w:w="100" w:type="dxa"/>
              <w:bottom w:w="100" w:type="dxa"/>
              <w:left w:w="140" w:type="dxa"/>
              <w:right w:w="140" w:type="dxa"/>
            </w:tcMar>
          </w:tcPr>
          <w:p>
            <w:pPr>
              <w:jc w:val="left"/>
            </w:pPr>
            <w:r>
              <w:rPr>
                <w:rFonts w:ascii="Calibri" w:hAnsi="Calibri"/>
                <w:sz w:val="18"/>
              </w:rPr>
              <w:t>Fold 1</w:t>
            </w:r>
          </w:p>
        </w:tc>
        <w:tc>
          <w:tcPr>
            <w:tcW w:type="dxa" w:w="1872"/>
            <w:shd w:fill="FFFFFF"/>
            <w:tcMar>
              <w:top w:w="100" w:type="dxa"/>
              <w:bottom w:w="100" w:type="dxa"/>
              <w:left w:w="140" w:type="dxa"/>
              <w:right w:w="140" w:type="dxa"/>
            </w:tcMar>
          </w:tcPr>
          <w:p>
            <w:pPr>
              <w:jc w:val="left"/>
            </w:pPr>
            <w:r>
              <w:rPr>
                <w:rFonts w:ascii="Calibri" w:hAnsi="Calibri"/>
                <w:sz w:val="18"/>
              </w:rPr>
              <w:t>Northern Region (PB, HR, UP)</w:t>
            </w:r>
          </w:p>
        </w:tc>
        <w:tc>
          <w:tcPr>
            <w:tcW w:type="dxa" w:w="1872"/>
            <w:shd w:fill="FFFFFF"/>
            <w:tcMar>
              <w:top w:w="100" w:type="dxa"/>
              <w:bottom w:w="100" w:type="dxa"/>
              <w:left w:w="140" w:type="dxa"/>
              <w:right w:w="140" w:type="dxa"/>
            </w:tcMar>
          </w:tcPr>
          <w:p>
            <w:pPr>
              <w:jc w:val="left"/>
            </w:pPr>
            <w:r>
              <w:rPr>
                <w:rFonts w:ascii="Calibri" w:hAnsi="Calibri"/>
                <w:sz w:val="18"/>
              </w:rPr>
              <w:t>0.8788</w:t>
            </w:r>
          </w:p>
        </w:tc>
        <w:tc>
          <w:tcPr>
            <w:tcW w:type="dxa" w:w="1872"/>
            <w:shd w:fill="FFFFFF"/>
            <w:tcMar>
              <w:top w:w="100" w:type="dxa"/>
              <w:bottom w:w="100" w:type="dxa"/>
              <w:left w:w="140" w:type="dxa"/>
              <w:right w:w="140" w:type="dxa"/>
            </w:tcMar>
          </w:tcPr>
          <w:p>
            <w:pPr>
              <w:jc w:val="left"/>
            </w:pPr>
            <w:r>
              <w:rPr>
                <w:rFonts w:ascii="Calibri" w:hAnsi="Calibri"/>
                <w:sz w:val="18"/>
              </w:rPr>
              <w:t>90.91%</w:t>
            </w:r>
          </w:p>
        </w:tc>
        <w:tc>
          <w:tcPr>
            <w:tcW w:type="dxa" w:w="2016"/>
            <w:shd w:fill="FFFFFF"/>
            <w:tcMar>
              <w:top w:w="100" w:type="dxa"/>
              <w:bottom w:w="100" w:type="dxa"/>
              <w:left w:w="140" w:type="dxa"/>
              <w:right w:w="140" w:type="dxa"/>
            </w:tcMar>
          </w:tcPr>
          <w:p>
            <w:pPr>
              <w:jc w:val="left"/>
            </w:pPr>
            <w:r>
              <w:rPr>
                <w:rFonts w:ascii="Calibri" w:hAnsi="Calibri"/>
                <w:sz w:val="18"/>
              </w:rPr>
              <w:t>PASS</w:t>
            </w:r>
          </w:p>
        </w:tc>
      </w:tr>
      <w:tr>
        <w:tc>
          <w:tcPr>
            <w:tcW w:type="dxa" w:w="2160"/>
            <w:shd w:fill="F8F9FA"/>
            <w:tcMar>
              <w:top w:w="100" w:type="dxa"/>
              <w:bottom w:w="100" w:type="dxa"/>
              <w:left w:w="140" w:type="dxa"/>
              <w:right w:w="140" w:type="dxa"/>
            </w:tcMar>
          </w:tcPr>
          <w:p>
            <w:pPr>
              <w:jc w:val="left"/>
            </w:pPr>
            <w:r>
              <w:rPr>
                <w:rFonts w:ascii="Calibri" w:hAnsi="Calibri"/>
                <w:sz w:val="18"/>
              </w:rPr>
              <w:t>Fold 2</w:t>
            </w:r>
          </w:p>
        </w:tc>
        <w:tc>
          <w:tcPr>
            <w:tcW w:type="dxa" w:w="1872"/>
            <w:shd w:fill="F8F9FA"/>
            <w:tcMar>
              <w:top w:w="100" w:type="dxa"/>
              <w:bottom w:w="100" w:type="dxa"/>
              <w:left w:w="140" w:type="dxa"/>
              <w:right w:w="140" w:type="dxa"/>
            </w:tcMar>
          </w:tcPr>
          <w:p>
            <w:pPr>
              <w:jc w:val="left"/>
            </w:pPr>
            <w:r>
              <w:rPr>
                <w:rFonts w:ascii="Calibri" w:hAnsi="Calibri"/>
                <w:sz w:val="18"/>
              </w:rPr>
              <w:t>Western Industrial Corridor (GJ, MH)</w:t>
            </w:r>
          </w:p>
        </w:tc>
        <w:tc>
          <w:tcPr>
            <w:tcW w:type="dxa" w:w="1872"/>
            <w:shd w:fill="F8F9FA"/>
            <w:tcMar>
              <w:top w:w="100" w:type="dxa"/>
              <w:bottom w:w="100" w:type="dxa"/>
              <w:left w:w="140" w:type="dxa"/>
              <w:right w:w="140" w:type="dxa"/>
            </w:tcMar>
          </w:tcPr>
          <w:p>
            <w:pPr>
              <w:jc w:val="left"/>
            </w:pPr>
            <w:r>
              <w:rPr>
                <w:rFonts w:ascii="Calibri" w:hAnsi="Calibri"/>
                <w:sz w:val="18"/>
              </w:rPr>
              <w:t>0.9277</w:t>
            </w:r>
          </w:p>
        </w:tc>
        <w:tc>
          <w:tcPr>
            <w:tcW w:type="dxa" w:w="1872"/>
            <w:shd w:fill="F8F9FA"/>
            <w:tcMar>
              <w:top w:w="100" w:type="dxa"/>
              <w:bottom w:w="100" w:type="dxa"/>
              <w:left w:w="140" w:type="dxa"/>
              <w:right w:w="140" w:type="dxa"/>
            </w:tcMar>
          </w:tcPr>
          <w:p>
            <w:pPr>
              <w:jc w:val="left"/>
            </w:pPr>
            <w:r>
              <w:rPr>
                <w:rFonts w:ascii="Calibri" w:hAnsi="Calibri"/>
                <w:sz w:val="18"/>
              </w:rPr>
              <w:t>94.32%</w:t>
            </w:r>
          </w:p>
        </w:tc>
        <w:tc>
          <w:tcPr>
            <w:tcW w:type="dxa" w:w="2016"/>
            <w:shd w:fill="F8F9FA"/>
            <w:tcMar>
              <w:top w:w="100" w:type="dxa"/>
              <w:bottom w:w="100" w:type="dxa"/>
              <w:left w:w="140" w:type="dxa"/>
              <w:right w:w="140" w:type="dxa"/>
            </w:tcMar>
          </w:tcPr>
          <w:p>
            <w:pPr>
              <w:jc w:val="left"/>
            </w:pPr>
            <w:r>
              <w:rPr>
                <w:rFonts w:ascii="Calibri" w:hAnsi="Calibri"/>
                <w:sz w:val="18"/>
              </w:rPr>
              <w:t>PASS</w:t>
            </w:r>
          </w:p>
        </w:tc>
      </w:tr>
      <w:tr>
        <w:tc>
          <w:tcPr>
            <w:tcW w:type="dxa" w:w="2160"/>
            <w:shd w:fill="FFFFFF"/>
            <w:tcMar>
              <w:top w:w="100" w:type="dxa"/>
              <w:bottom w:w="100" w:type="dxa"/>
              <w:left w:w="140" w:type="dxa"/>
              <w:right w:w="140" w:type="dxa"/>
            </w:tcMar>
          </w:tcPr>
          <w:p>
            <w:pPr>
              <w:jc w:val="left"/>
            </w:pPr>
            <w:r>
              <w:rPr>
                <w:rFonts w:ascii="Calibri" w:hAnsi="Calibri"/>
                <w:sz w:val="18"/>
              </w:rPr>
              <w:t>Fold 3</w:t>
            </w:r>
          </w:p>
        </w:tc>
        <w:tc>
          <w:tcPr>
            <w:tcW w:type="dxa" w:w="1872"/>
            <w:shd w:fill="FFFFFF"/>
            <w:tcMar>
              <w:top w:w="100" w:type="dxa"/>
              <w:bottom w:w="100" w:type="dxa"/>
              <w:left w:w="140" w:type="dxa"/>
              <w:right w:w="140" w:type="dxa"/>
            </w:tcMar>
          </w:tcPr>
          <w:p>
            <w:pPr>
              <w:jc w:val="left"/>
            </w:pPr>
            <w:r>
              <w:rPr>
                <w:rFonts w:ascii="Calibri" w:hAnsi="Calibri"/>
                <w:sz w:val="18"/>
              </w:rPr>
              <w:t>Central Mining Belt (JH, CG, OD)</w:t>
            </w:r>
          </w:p>
        </w:tc>
        <w:tc>
          <w:tcPr>
            <w:tcW w:type="dxa" w:w="1872"/>
            <w:shd w:fill="FFFFFF"/>
            <w:tcMar>
              <w:top w:w="100" w:type="dxa"/>
              <w:bottom w:w="100" w:type="dxa"/>
              <w:left w:w="140" w:type="dxa"/>
              <w:right w:w="140" w:type="dxa"/>
            </w:tcMar>
          </w:tcPr>
          <w:p>
            <w:pPr>
              <w:jc w:val="left"/>
            </w:pPr>
            <w:r>
              <w:rPr>
                <w:rFonts w:ascii="Calibri" w:hAnsi="Calibri"/>
                <w:sz w:val="18"/>
              </w:rPr>
              <w:t>0.9816</w:t>
            </w:r>
          </w:p>
        </w:tc>
        <w:tc>
          <w:tcPr>
            <w:tcW w:type="dxa" w:w="1872"/>
            <w:shd w:fill="FFFFFF"/>
            <w:tcMar>
              <w:top w:w="100" w:type="dxa"/>
              <w:bottom w:w="100" w:type="dxa"/>
              <w:left w:w="140" w:type="dxa"/>
              <w:right w:w="140" w:type="dxa"/>
            </w:tcMar>
          </w:tcPr>
          <w:p>
            <w:pPr>
              <w:jc w:val="left"/>
            </w:pPr>
            <w:r>
              <w:rPr>
                <w:rFonts w:ascii="Calibri" w:hAnsi="Calibri"/>
                <w:sz w:val="18"/>
              </w:rPr>
              <w:t>97.73%</w:t>
            </w:r>
          </w:p>
        </w:tc>
        <w:tc>
          <w:tcPr>
            <w:tcW w:type="dxa" w:w="2016"/>
            <w:shd w:fill="FFFFFF"/>
            <w:tcMar>
              <w:top w:w="100" w:type="dxa"/>
              <w:bottom w:w="100" w:type="dxa"/>
              <w:left w:w="140" w:type="dxa"/>
              <w:right w:w="140" w:type="dxa"/>
            </w:tcMar>
          </w:tcPr>
          <w:p>
            <w:pPr>
              <w:jc w:val="left"/>
            </w:pPr>
            <w:r>
              <w:rPr>
                <w:rFonts w:ascii="Calibri" w:hAnsi="Calibri"/>
                <w:sz w:val="18"/>
              </w:rPr>
              <w:t>PASS</w:t>
            </w:r>
          </w:p>
        </w:tc>
      </w:tr>
      <w:tr>
        <w:tc>
          <w:tcPr>
            <w:tcW w:type="dxa" w:w="2160"/>
            <w:shd w:fill="F8F9FA"/>
            <w:tcMar>
              <w:top w:w="100" w:type="dxa"/>
              <w:bottom w:w="100" w:type="dxa"/>
              <w:left w:w="140" w:type="dxa"/>
              <w:right w:w="140" w:type="dxa"/>
            </w:tcMar>
          </w:tcPr>
          <w:p>
            <w:pPr>
              <w:jc w:val="left"/>
            </w:pPr>
            <w:r>
              <w:rPr>
                <w:rFonts w:ascii="Calibri" w:hAnsi="Calibri"/>
                <w:sz w:val="18"/>
              </w:rPr>
              <w:t>Fold 4</w:t>
            </w:r>
          </w:p>
        </w:tc>
        <w:tc>
          <w:tcPr>
            <w:tcW w:type="dxa" w:w="1872"/>
            <w:shd w:fill="F8F9FA"/>
            <w:tcMar>
              <w:top w:w="100" w:type="dxa"/>
              <w:bottom w:w="100" w:type="dxa"/>
              <w:left w:w="140" w:type="dxa"/>
              <w:right w:w="140" w:type="dxa"/>
            </w:tcMar>
          </w:tcPr>
          <w:p>
            <w:pPr>
              <w:jc w:val="left"/>
            </w:pPr>
            <w:r>
              <w:rPr>
                <w:rFonts w:ascii="Calibri" w:hAnsi="Calibri"/>
                <w:sz w:val="18"/>
              </w:rPr>
              <w:t>Southern Peninsula (KA, TN, AP, TS)</w:t>
            </w:r>
          </w:p>
        </w:tc>
        <w:tc>
          <w:tcPr>
            <w:tcW w:type="dxa" w:w="1872"/>
            <w:shd w:fill="F8F9FA"/>
            <w:tcMar>
              <w:top w:w="100" w:type="dxa"/>
              <w:bottom w:w="100" w:type="dxa"/>
              <w:left w:w="140" w:type="dxa"/>
              <w:right w:w="140" w:type="dxa"/>
            </w:tcMar>
          </w:tcPr>
          <w:p>
            <w:pPr>
              <w:jc w:val="left"/>
            </w:pPr>
            <w:r>
              <w:rPr>
                <w:rFonts w:ascii="Calibri" w:hAnsi="Calibri"/>
                <w:sz w:val="18"/>
              </w:rPr>
              <w:t>0.9535</w:t>
            </w:r>
          </w:p>
        </w:tc>
        <w:tc>
          <w:tcPr>
            <w:tcW w:type="dxa" w:w="1872"/>
            <w:shd w:fill="F8F9FA"/>
            <w:tcMar>
              <w:top w:w="100" w:type="dxa"/>
              <w:bottom w:w="100" w:type="dxa"/>
              <w:left w:w="140" w:type="dxa"/>
              <w:right w:w="140" w:type="dxa"/>
            </w:tcMar>
          </w:tcPr>
          <w:p>
            <w:pPr>
              <w:jc w:val="left"/>
            </w:pPr>
            <w:r>
              <w:rPr>
                <w:rFonts w:ascii="Calibri" w:hAnsi="Calibri"/>
                <w:sz w:val="18"/>
              </w:rPr>
              <w:t>95.45%</w:t>
            </w:r>
          </w:p>
        </w:tc>
        <w:tc>
          <w:tcPr>
            <w:tcW w:type="dxa" w:w="2016"/>
            <w:shd w:fill="F8F9FA"/>
            <w:tcMar>
              <w:top w:w="100" w:type="dxa"/>
              <w:bottom w:w="100" w:type="dxa"/>
              <w:left w:w="140" w:type="dxa"/>
              <w:right w:w="140" w:type="dxa"/>
            </w:tcMar>
          </w:tcPr>
          <w:p>
            <w:pPr>
              <w:jc w:val="left"/>
            </w:pPr>
            <w:r>
              <w:rPr>
                <w:rFonts w:ascii="Calibri" w:hAnsi="Calibri"/>
                <w:sz w:val="18"/>
              </w:rPr>
              <w:t>PASS</w:t>
            </w:r>
          </w:p>
        </w:tc>
      </w:tr>
      <w:tr>
        <w:tc>
          <w:tcPr>
            <w:tcW w:type="dxa" w:w="2160"/>
            <w:shd w:fill="FFFFFF"/>
            <w:tcMar>
              <w:top w:w="100" w:type="dxa"/>
              <w:bottom w:w="100" w:type="dxa"/>
              <w:left w:w="140" w:type="dxa"/>
              <w:right w:w="140" w:type="dxa"/>
            </w:tcMar>
          </w:tcPr>
          <w:p>
            <w:pPr>
              <w:jc w:val="left"/>
            </w:pPr>
            <w:r>
              <w:rPr>
                <w:rFonts w:ascii="Calibri" w:hAnsi="Calibri"/>
                <w:sz w:val="18"/>
              </w:rPr>
              <w:t>Fold 5</w:t>
            </w:r>
          </w:p>
        </w:tc>
        <w:tc>
          <w:tcPr>
            <w:tcW w:type="dxa" w:w="1872"/>
            <w:shd w:fill="FFFFFF"/>
            <w:tcMar>
              <w:top w:w="100" w:type="dxa"/>
              <w:bottom w:w="100" w:type="dxa"/>
              <w:left w:w="140" w:type="dxa"/>
              <w:right w:w="140" w:type="dxa"/>
            </w:tcMar>
          </w:tcPr>
          <w:p>
            <w:pPr>
              <w:jc w:val="left"/>
            </w:pPr>
            <w:r>
              <w:rPr>
                <w:rFonts w:ascii="Calibri" w:hAnsi="Calibri"/>
                <w:sz w:val="18"/>
              </w:rPr>
              <w:t>Eastern &amp; North-Eastern Biomes</w:t>
            </w:r>
          </w:p>
        </w:tc>
        <w:tc>
          <w:tcPr>
            <w:tcW w:type="dxa" w:w="1872"/>
            <w:shd w:fill="FFFFFF"/>
            <w:tcMar>
              <w:top w:w="100" w:type="dxa"/>
              <w:bottom w:w="100" w:type="dxa"/>
              <w:left w:w="140" w:type="dxa"/>
              <w:right w:w="140" w:type="dxa"/>
            </w:tcMar>
          </w:tcPr>
          <w:p>
            <w:pPr>
              <w:jc w:val="left"/>
            </w:pPr>
            <w:r>
              <w:rPr>
                <w:rFonts w:ascii="Calibri" w:hAnsi="Calibri"/>
                <w:sz w:val="18"/>
              </w:rPr>
              <w:t>0.9174</w:t>
            </w:r>
          </w:p>
        </w:tc>
        <w:tc>
          <w:tcPr>
            <w:tcW w:type="dxa" w:w="1872"/>
            <w:shd w:fill="FFFFFF"/>
            <w:tcMar>
              <w:top w:w="100" w:type="dxa"/>
              <w:bottom w:w="100" w:type="dxa"/>
              <w:left w:w="140" w:type="dxa"/>
              <w:right w:w="140" w:type="dxa"/>
            </w:tcMar>
          </w:tcPr>
          <w:p>
            <w:pPr>
              <w:jc w:val="left"/>
            </w:pPr>
            <w:r>
              <w:rPr>
                <w:rFonts w:ascii="Calibri" w:hAnsi="Calibri"/>
                <w:sz w:val="18"/>
              </w:rPr>
              <w:t>93.18%</w:t>
            </w:r>
          </w:p>
        </w:tc>
        <w:tc>
          <w:tcPr>
            <w:tcW w:type="dxa" w:w="2016"/>
            <w:shd w:fill="FFFFFF"/>
            <w:tcMar>
              <w:top w:w="100" w:type="dxa"/>
              <w:bottom w:w="100" w:type="dxa"/>
              <w:left w:w="140" w:type="dxa"/>
              <w:right w:w="140" w:type="dxa"/>
            </w:tcMar>
          </w:tcPr>
          <w:p>
            <w:pPr>
              <w:jc w:val="left"/>
            </w:pPr>
            <w:r>
              <w:rPr>
                <w:rFonts w:ascii="Calibri" w:hAnsi="Calibri"/>
                <w:sz w:val="18"/>
              </w:rPr>
              <w:t>PASS</w:t>
            </w:r>
          </w:p>
        </w:tc>
      </w:tr>
      <w:tr>
        <w:tc>
          <w:tcPr>
            <w:tcW w:type="dxa" w:w="2160"/>
            <w:shd w:fill="F8F9FA"/>
            <w:tcMar>
              <w:top w:w="100" w:type="dxa"/>
              <w:bottom w:w="100" w:type="dxa"/>
              <w:left w:w="140" w:type="dxa"/>
              <w:right w:w="140" w:type="dxa"/>
            </w:tcMar>
          </w:tcPr>
          <w:p>
            <w:pPr>
              <w:jc w:val="left"/>
            </w:pPr>
            <w:r>
              <w:rPr>
                <w:rFonts w:ascii="Calibri" w:hAnsi="Calibri"/>
                <w:sz w:val="18"/>
              </w:rPr>
              <w:t>Mean ± SD</w:t>
            </w:r>
          </w:p>
        </w:tc>
        <w:tc>
          <w:tcPr>
            <w:tcW w:type="dxa" w:w="1872"/>
            <w:shd w:fill="F8F9FA"/>
            <w:tcMar>
              <w:top w:w="100" w:type="dxa"/>
              <w:bottom w:w="100" w:type="dxa"/>
              <w:left w:w="140" w:type="dxa"/>
              <w:right w:w="140" w:type="dxa"/>
            </w:tcMar>
          </w:tcPr>
          <w:p>
            <w:pPr>
              <w:jc w:val="left"/>
            </w:pPr>
            <w:r>
              <w:rPr>
                <w:rFonts w:ascii="Calibri" w:hAnsi="Calibri"/>
                <w:sz w:val="18"/>
              </w:rPr>
              <w:t>All India Spatial Folds</w:t>
            </w:r>
          </w:p>
        </w:tc>
        <w:tc>
          <w:tcPr>
            <w:tcW w:type="dxa" w:w="1872"/>
            <w:shd w:fill="F8F9FA"/>
            <w:tcMar>
              <w:top w:w="100" w:type="dxa"/>
              <w:bottom w:w="100" w:type="dxa"/>
              <w:left w:w="140" w:type="dxa"/>
              <w:right w:w="140" w:type="dxa"/>
            </w:tcMar>
          </w:tcPr>
          <w:p>
            <w:pPr>
              <w:jc w:val="left"/>
            </w:pPr>
            <w:r>
              <w:rPr>
                <w:rFonts w:ascii="Calibri" w:hAnsi="Calibri"/>
                <w:sz w:val="18"/>
              </w:rPr>
              <w:t>0.9318 ± 0.035</w:t>
            </w:r>
          </w:p>
        </w:tc>
        <w:tc>
          <w:tcPr>
            <w:tcW w:type="dxa" w:w="1872"/>
            <w:shd w:fill="F8F9FA"/>
            <w:tcMar>
              <w:top w:w="100" w:type="dxa"/>
              <w:bottom w:w="100" w:type="dxa"/>
              <w:left w:w="140" w:type="dxa"/>
              <w:right w:w="140" w:type="dxa"/>
            </w:tcMar>
          </w:tcPr>
          <w:p>
            <w:pPr>
              <w:jc w:val="left"/>
            </w:pPr>
            <w:r>
              <w:rPr>
                <w:rFonts w:ascii="Calibri" w:hAnsi="Calibri"/>
                <w:sz w:val="18"/>
              </w:rPr>
              <w:t>94.32% ± 2.2%</w:t>
            </w:r>
          </w:p>
        </w:tc>
        <w:tc>
          <w:tcPr>
            <w:tcW w:type="dxa" w:w="2016"/>
            <w:shd w:fill="F8F9FA"/>
            <w:tcMar>
              <w:top w:w="100" w:type="dxa"/>
              <w:bottom w:w="100" w:type="dxa"/>
              <w:left w:w="140" w:type="dxa"/>
              <w:right w:w="140" w:type="dxa"/>
            </w:tcMar>
          </w:tcPr>
          <w:p>
            <w:pPr>
              <w:jc w:val="left"/>
            </w:pPr>
            <w:r>
              <w:rPr>
                <w:rFonts w:ascii="Calibri" w:hAnsi="Calibri"/>
                <w:sz w:val="18"/>
              </w:rPr>
              <w:t>EXEMPLARY</w:t>
            </w:r>
          </w:p>
        </w:tc>
      </w:tr>
    </w:tbl>
    <w:p>
      <w:pPr>
        <w:spacing w:after="160"/>
      </w:pPr>
    </w:p>
    <w:p>
      <w:pPr>
        <w:pStyle w:val="Heading1"/>
        <w:spacing w:before="360" w:after="160"/>
      </w:pPr>
      <w:r>
        <w:t>15. Model Calibration</w:t>
      </w:r>
    </w:p>
    <w:p>
      <w:pPr>
        <w:spacing w:after="120" w:line="276" w:lineRule="auto"/>
      </w:pPr>
      <w:r>
        <w:rPr>
          <w:sz w:val="21"/>
        </w:rPr>
        <w:t>Standard tree-based ensembles (including gradient boosted trees) optimize classification accuracy rather than probability calibration. Uncalibrated models produce overconfident posterior probabilities near 0.0 and 1.0, distorting risk evaluation and operational decision thresholds.</w:t>
      </w:r>
    </w:p>
    <w:p>
      <w:pPr>
        <w:pStyle w:val="Heading2"/>
        <w:spacing w:before="240" w:after="120"/>
      </w:pPr>
      <w:r>
        <w:t>15.1 Calibration Formulations</w:t>
      </w:r>
    </w:p>
    <w:p>
      <w:pPr>
        <w:spacing w:after="120" w:line="276" w:lineRule="auto"/>
      </w:pPr>
      <w:r>
        <w:rPr>
          <w:sz w:val="21"/>
        </w:rPr>
        <w:t>We evaluated two calibration methodologies on the held-out validation set:</w:t>
      </w:r>
    </w:p>
    <w:p>
      <w:pPr>
        <w:spacing w:after="120" w:line="276" w:lineRule="auto"/>
      </w:pPr>
      <w:r>
        <w:rPr>
          <w:sz w:val="21"/>
        </w:rPr>
        <w:t>1. Temperature Scaling:</w:t>
      </w:r>
    </w:p>
    <w:p>
      <w:pPr>
        <w:spacing w:before="80" w:after="120"/>
        <w:jc w:val="center"/>
      </w:pPr>
      <w:r>
        <w:rPr>
          <w:rFonts w:ascii="Cambria Math" w:hAnsi="Cambria Math"/>
          <w:i/>
          <w:sz w:val="22"/>
        </w:rPr>
        <w:t>P(Y = c \mid \mathbf{z}) = \frac{\exp(z_c / T)}{\sum_{k=1}^K \exp(z_k / T)}, \quad T^* = 2.57</w:t>
      </w:r>
    </w:p>
    <w:p>
      <w:pPr>
        <w:spacing w:after="120" w:line="276" w:lineRule="auto"/>
      </w:pPr>
      <w:r>
        <w:rPr>
          <w:sz w:val="21"/>
        </w:rPr>
        <w:t>2. Balanced Platt Scaling (Multinomial Logistic Calibrator):</w:t>
      </w:r>
    </w:p>
    <w:p>
      <w:pPr>
        <w:spacing w:before="80" w:after="120"/>
        <w:jc w:val="center"/>
      </w:pPr>
      <w:r>
        <w:rPr>
          <w:rFonts w:ascii="Cambria Math" w:hAnsi="Cambria Math"/>
          <w:i/>
          <w:sz w:val="22"/>
        </w:rPr>
        <w:t>P(Y = c \mid \mathbf{z}) = \sigma(\mathbf{W} \mathbf{z} + \mathbf{b})</w:t>
      </w:r>
    </w:p>
    <w:p>
      <w:pPr>
        <w:spacing w:after="120" w:line="276" w:lineRule="auto"/>
      </w:pPr>
      <w:r>
        <w:rPr>
          <w:sz w:val="21"/>
        </w:rPr>
        <w:t>optimized with balanced class weighting to prevent minority class collapse.</w:t>
      </w:r>
    </w:p>
    <w:p>
      <w:pPr>
        <w:pStyle w:val="Heading2"/>
        <w:spacing w:before="240" w:after="120"/>
      </w:pPr>
      <w:r>
        <w:t>15.2 Calibration Metric Comparison on 2026 Frozen Test ($N=176$)</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872"/>
            <w:shd w:fill="003366"/>
            <w:tcMar>
              <w:top w:w="120" w:type="dxa"/>
              <w:bottom w:w="120" w:type="dxa"/>
              <w:left w:w="140" w:type="dxa"/>
              <w:right w:w="140" w:type="dxa"/>
            </w:tcMar>
          </w:tcPr>
          <w:p>
            <w:pPr>
              <w:jc w:val="left"/>
            </w:pPr>
            <w:r>
              <w:rPr>
                <w:rFonts w:ascii="Calibri" w:hAnsi="Calibri"/>
                <w:b/>
                <w:color w:val="FFFFFF"/>
                <w:sz w:val="19"/>
              </w:rPr>
              <w:t>Model Variant</w:t>
            </w:r>
          </w:p>
        </w:tc>
        <w:tc>
          <w:tcPr>
            <w:tcW w:type="dxa" w:w="1584"/>
            <w:shd w:fill="003366"/>
            <w:tcMar>
              <w:top w:w="120" w:type="dxa"/>
              <w:bottom w:w="120" w:type="dxa"/>
              <w:left w:w="140" w:type="dxa"/>
              <w:right w:w="140" w:type="dxa"/>
            </w:tcMar>
          </w:tcPr>
          <w:p>
            <w:pPr>
              <w:jc w:val="left"/>
            </w:pPr>
            <w:r>
              <w:rPr>
                <w:rFonts w:ascii="Calibri" w:hAnsi="Calibri"/>
                <w:b/>
                <w:color w:val="FFFFFF"/>
                <w:sz w:val="19"/>
              </w:rPr>
              <w:t>Multiclass Log-Loss</w:t>
            </w:r>
          </w:p>
        </w:tc>
        <w:tc>
          <w:tcPr>
            <w:tcW w:type="dxa" w:w="1584"/>
            <w:shd w:fill="003366"/>
            <w:tcMar>
              <w:top w:w="120" w:type="dxa"/>
              <w:bottom w:w="120" w:type="dxa"/>
              <w:left w:w="140" w:type="dxa"/>
              <w:right w:w="140" w:type="dxa"/>
            </w:tcMar>
          </w:tcPr>
          <w:p>
            <w:pPr>
              <w:jc w:val="left"/>
            </w:pPr>
            <w:r>
              <w:rPr>
                <w:rFonts w:ascii="Calibri" w:hAnsi="Calibri"/>
                <w:b/>
                <w:color w:val="FFFFFF"/>
                <w:sz w:val="19"/>
              </w:rPr>
              <w:t>Brier Score</w:t>
            </w:r>
          </w:p>
        </w:tc>
        <w:tc>
          <w:tcPr>
            <w:tcW w:type="dxa" w:w="1584"/>
            <w:shd w:fill="003366"/>
            <w:tcMar>
              <w:top w:w="120" w:type="dxa"/>
              <w:bottom w:w="120" w:type="dxa"/>
              <w:left w:w="140" w:type="dxa"/>
              <w:right w:w="140" w:type="dxa"/>
            </w:tcMar>
          </w:tcPr>
          <w:p>
            <w:pPr>
              <w:jc w:val="left"/>
            </w:pPr>
            <w:r>
              <w:rPr>
                <w:rFonts w:ascii="Calibri" w:hAnsi="Calibri"/>
                <w:b/>
                <w:color w:val="FFFFFF"/>
                <w:sz w:val="19"/>
              </w:rPr>
              <w:t>Expected Calibration Error (ECE)</w:t>
            </w:r>
          </w:p>
        </w:tc>
        <w:tc>
          <w:tcPr>
            <w:tcW w:type="dxa" w:w="1584"/>
            <w:shd w:fill="003366"/>
            <w:tcMar>
              <w:top w:w="120" w:type="dxa"/>
              <w:bottom w:w="120" w:type="dxa"/>
              <w:left w:w="140" w:type="dxa"/>
              <w:right w:w="140" w:type="dxa"/>
            </w:tcMar>
          </w:tcPr>
          <w:p>
            <w:pPr>
              <w:jc w:val="left"/>
            </w:pPr>
            <w:r>
              <w:rPr>
                <w:rFonts w:ascii="Calibri" w:hAnsi="Calibri"/>
                <w:b/>
                <w:color w:val="FFFFFF"/>
                <w:sz w:val="19"/>
              </w:rPr>
              <w:t>Top-1 Avg Conf</w:t>
            </w:r>
          </w:p>
        </w:tc>
        <w:tc>
          <w:tcPr>
            <w:tcW w:type="dxa" w:w="1584"/>
            <w:shd w:fill="003366"/>
            <w:tcMar>
              <w:top w:w="120" w:type="dxa"/>
              <w:bottom w:w="120" w:type="dxa"/>
              <w:left w:w="140" w:type="dxa"/>
              <w:right w:w="140" w:type="dxa"/>
            </w:tcMar>
          </w:tcPr>
          <w:p>
            <w:pPr>
              <w:jc w:val="left"/>
            </w:pPr>
            <w:r>
              <w:rPr>
                <w:rFonts w:ascii="Calibri" w:hAnsi="Calibri"/>
                <w:b/>
                <w:color w:val="FFFFFF"/>
                <w:sz w:val="19"/>
              </w:rPr>
              <w:t>Calibration Status</w:t>
            </w:r>
          </w:p>
        </w:tc>
      </w:tr>
      <w:tr>
        <w:tc>
          <w:tcPr>
            <w:tcW w:type="dxa" w:w="1872"/>
            <w:shd w:fill="FFFFFF"/>
            <w:tcMar>
              <w:top w:w="100" w:type="dxa"/>
              <w:bottom w:w="100" w:type="dxa"/>
              <w:left w:w="140" w:type="dxa"/>
              <w:right w:w="140" w:type="dxa"/>
            </w:tcMar>
          </w:tcPr>
          <w:p>
            <w:pPr>
              <w:jc w:val="left"/>
            </w:pPr>
            <w:r>
              <w:rPr>
                <w:rFonts w:ascii="Calibri" w:hAnsi="Calibri"/>
                <w:sz w:val="18"/>
              </w:rPr>
              <w:t>Raw Random Forest Benchmark</w:t>
            </w:r>
          </w:p>
        </w:tc>
        <w:tc>
          <w:tcPr>
            <w:tcW w:type="dxa" w:w="1584"/>
            <w:shd w:fill="FFFFFF"/>
            <w:tcMar>
              <w:top w:w="100" w:type="dxa"/>
              <w:bottom w:w="100" w:type="dxa"/>
              <w:left w:w="140" w:type="dxa"/>
              <w:right w:w="140" w:type="dxa"/>
            </w:tcMar>
          </w:tcPr>
          <w:p>
            <w:pPr>
              <w:jc w:val="left"/>
            </w:pPr>
            <w:r>
              <w:rPr>
                <w:rFonts w:ascii="Calibri" w:hAnsi="Calibri"/>
                <w:sz w:val="18"/>
              </w:rPr>
              <w:t>1.7643</w:t>
            </w:r>
          </w:p>
        </w:tc>
        <w:tc>
          <w:tcPr>
            <w:tcW w:type="dxa" w:w="1584"/>
            <w:shd w:fill="FFFFFF"/>
            <w:tcMar>
              <w:top w:w="100" w:type="dxa"/>
              <w:bottom w:w="100" w:type="dxa"/>
              <w:left w:w="140" w:type="dxa"/>
              <w:right w:w="140" w:type="dxa"/>
            </w:tcMar>
          </w:tcPr>
          <w:p>
            <w:pPr>
              <w:jc w:val="left"/>
            </w:pPr>
            <w:r>
              <w:rPr>
                <w:rFonts w:ascii="Calibri" w:hAnsi="Calibri"/>
                <w:sz w:val="18"/>
              </w:rPr>
              <w:t>0.0848</w:t>
            </w:r>
          </w:p>
        </w:tc>
        <w:tc>
          <w:tcPr>
            <w:tcW w:type="dxa" w:w="1584"/>
            <w:shd w:fill="FFFFFF"/>
            <w:tcMar>
              <w:top w:w="100" w:type="dxa"/>
              <w:bottom w:w="100" w:type="dxa"/>
              <w:left w:w="140" w:type="dxa"/>
              <w:right w:w="140" w:type="dxa"/>
            </w:tcMar>
          </w:tcPr>
          <w:p>
            <w:pPr>
              <w:jc w:val="left"/>
            </w:pPr>
            <w:r>
              <w:rPr>
                <w:rFonts w:ascii="Calibri" w:hAnsi="Calibri"/>
                <w:sz w:val="18"/>
              </w:rPr>
              <w:t>0.1524</w:t>
            </w:r>
          </w:p>
        </w:tc>
        <w:tc>
          <w:tcPr>
            <w:tcW w:type="dxa" w:w="1584"/>
            <w:shd w:fill="FFFFFF"/>
            <w:tcMar>
              <w:top w:w="100" w:type="dxa"/>
              <w:bottom w:w="100" w:type="dxa"/>
              <w:left w:w="140" w:type="dxa"/>
              <w:right w:w="140" w:type="dxa"/>
            </w:tcMar>
          </w:tcPr>
          <w:p>
            <w:pPr>
              <w:jc w:val="left"/>
            </w:pPr>
            <w:r>
              <w:rPr>
                <w:rFonts w:ascii="Calibri" w:hAnsi="Calibri"/>
                <w:sz w:val="18"/>
              </w:rPr>
              <w:t>0.6120</w:t>
            </w:r>
          </w:p>
        </w:tc>
        <w:tc>
          <w:tcPr>
            <w:tcW w:type="dxa" w:w="1584"/>
            <w:shd w:fill="FFFFFF"/>
            <w:tcMar>
              <w:top w:w="100" w:type="dxa"/>
              <w:bottom w:w="100" w:type="dxa"/>
              <w:left w:w="140" w:type="dxa"/>
              <w:right w:w="140" w:type="dxa"/>
            </w:tcMar>
          </w:tcPr>
          <w:p>
            <w:pPr>
              <w:jc w:val="left"/>
            </w:pPr>
            <w:r>
              <w:rPr>
                <w:rFonts w:ascii="Calibri" w:hAnsi="Calibri"/>
                <w:sz w:val="18"/>
              </w:rPr>
              <w:t>Uncalibrated</w:t>
            </w:r>
          </w:p>
        </w:tc>
      </w:tr>
      <w:tr>
        <w:tc>
          <w:tcPr>
            <w:tcW w:type="dxa" w:w="1872"/>
            <w:shd w:fill="F8F9FA"/>
            <w:tcMar>
              <w:top w:w="100" w:type="dxa"/>
              <w:bottom w:w="100" w:type="dxa"/>
              <w:left w:w="140" w:type="dxa"/>
              <w:right w:w="140" w:type="dxa"/>
            </w:tcMar>
          </w:tcPr>
          <w:p>
            <w:pPr>
              <w:jc w:val="left"/>
            </w:pPr>
            <w:r>
              <w:rPr>
                <w:rFonts w:ascii="Calibri" w:hAnsi="Calibri"/>
                <w:sz w:val="18"/>
              </w:rPr>
              <w:t>Raw XGBoost Candidate</w:t>
            </w:r>
          </w:p>
        </w:tc>
        <w:tc>
          <w:tcPr>
            <w:tcW w:type="dxa" w:w="1584"/>
            <w:shd w:fill="F8F9FA"/>
            <w:tcMar>
              <w:top w:w="100" w:type="dxa"/>
              <w:bottom w:w="100" w:type="dxa"/>
              <w:left w:w="140" w:type="dxa"/>
              <w:right w:w="140" w:type="dxa"/>
            </w:tcMar>
          </w:tcPr>
          <w:p>
            <w:pPr>
              <w:jc w:val="left"/>
            </w:pPr>
            <w:r>
              <w:rPr>
                <w:rFonts w:ascii="Calibri" w:hAnsi="Calibri"/>
                <w:sz w:val="18"/>
              </w:rPr>
              <w:t>1.6074</w:t>
            </w:r>
          </w:p>
        </w:tc>
        <w:tc>
          <w:tcPr>
            <w:tcW w:type="dxa" w:w="1584"/>
            <w:shd w:fill="F8F9FA"/>
            <w:tcMar>
              <w:top w:w="100" w:type="dxa"/>
              <w:bottom w:w="100" w:type="dxa"/>
              <w:left w:w="140" w:type="dxa"/>
              <w:right w:w="140" w:type="dxa"/>
            </w:tcMar>
          </w:tcPr>
          <w:p>
            <w:pPr>
              <w:jc w:val="left"/>
            </w:pPr>
            <w:r>
              <w:rPr>
                <w:rFonts w:ascii="Calibri" w:hAnsi="Calibri"/>
                <w:sz w:val="18"/>
              </w:rPr>
              <w:t>0.0975</w:t>
            </w:r>
          </w:p>
        </w:tc>
        <w:tc>
          <w:tcPr>
            <w:tcW w:type="dxa" w:w="1584"/>
            <w:shd w:fill="F8F9FA"/>
            <w:tcMar>
              <w:top w:w="100" w:type="dxa"/>
              <w:bottom w:w="100" w:type="dxa"/>
              <w:left w:w="140" w:type="dxa"/>
              <w:right w:w="140" w:type="dxa"/>
            </w:tcMar>
          </w:tcPr>
          <w:p>
            <w:pPr>
              <w:jc w:val="left"/>
            </w:pPr>
            <w:r>
              <w:rPr>
                <w:rFonts w:ascii="Calibri" w:hAnsi="Calibri"/>
                <w:sz w:val="18"/>
              </w:rPr>
              <w:t>0.2831</w:t>
            </w:r>
          </w:p>
        </w:tc>
        <w:tc>
          <w:tcPr>
            <w:tcW w:type="dxa" w:w="1584"/>
            <w:shd w:fill="F8F9FA"/>
            <w:tcMar>
              <w:top w:w="100" w:type="dxa"/>
              <w:bottom w:w="100" w:type="dxa"/>
              <w:left w:w="140" w:type="dxa"/>
              <w:right w:w="140" w:type="dxa"/>
            </w:tcMar>
          </w:tcPr>
          <w:p>
            <w:pPr>
              <w:jc w:val="left"/>
            </w:pPr>
            <w:r>
              <w:rPr>
                <w:rFonts w:ascii="Calibri" w:hAnsi="Calibri"/>
                <w:sz w:val="18"/>
              </w:rPr>
              <w:t>0.7842</w:t>
            </w:r>
          </w:p>
        </w:tc>
        <w:tc>
          <w:tcPr>
            <w:tcW w:type="dxa" w:w="1584"/>
            <w:shd w:fill="F8F9FA"/>
            <w:tcMar>
              <w:top w:w="100" w:type="dxa"/>
              <w:bottom w:w="100" w:type="dxa"/>
              <w:left w:w="140" w:type="dxa"/>
              <w:right w:w="140" w:type="dxa"/>
            </w:tcMar>
          </w:tcPr>
          <w:p>
            <w:pPr>
              <w:jc w:val="left"/>
            </w:pPr>
            <w:r>
              <w:rPr>
                <w:rFonts w:ascii="Calibri" w:hAnsi="Calibri"/>
                <w:sz w:val="18"/>
              </w:rPr>
              <w:t>Highly Overconfident</w:t>
            </w:r>
          </w:p>
        </w:tc>
      </w:tr>
      <w:tr>
        <w:tc>
          <w:tcPr>
            <w:tcW w:type="dxa" w:w="1872"/>
            <w:shd w:fill="FFFFFF"/>
            <w:tcMar>
              <w:top w:w="100" w:type="dxa"/>
              <w:bottom w:w="100" w:type="dxa"/>
              <w:left w:w="140" w:type="dxa"/>
              <w:right w:w="140" w:type="dxa"/>
            </w:tcMar>
          </w:tcPr>
          <w:p>
            <w:pPr>
              <w:jc w:val="left"/>
            </w:pPr>
            <w:r>
              <w:rPr>
                <w:rFonts w:ascii="Calibri" w:hAnsi="Calibri"/>
                <w:sz w:val="18"/>
              </w:rPr>
              <w:t>Temperature Scaled XGBoost ($T=2.57$)</w:t>
            </w:r>
          </w:p>
        </w:tc>
        <w:tc>
          <w:tcPr>
            <w:tcW w:type="dxa" w:w="1584"/>
            <w:shd w:fill="FFFFFF"/>
            <w:tcMar>
              <w:top w:w="100" w:type="dxa"/>
              <w:bottom w:w="100" w:type="dxa"/>
              <w:left w:w="140" w:type="dxa"/>
              <w:right w:w="140" w:type="dxa"/>
            </w:tcMar>
          </w:tcPr>
          <w:p>
            <w:pPr>
              <w:jc w:val="left"/>
            </w:pPr>
            <w:r>
              <w:rPr>
                <w:rFonts w:ascii="Calibri" w:hAnsi="Calibri"/>
                <w:sz w:val="18"/>
              </w:rPr>
              <w:t>1.0682</w:t>
            </w:r>
          </w:p>
        </w:tc>
        <w:tc>
          <w:tcPr>
            <w:tcW w:type="dxa" w:w="1584"/>
            <w:shd w:fill="FFFFFF"/>
            <w:tcMar>
              <w:top w:w="100" w:type="dxa"/>
              <w:bottom w:w="100" w:type="dxa"/>
              <w:left w:w="140" w:type="dxa"/>
              <w:right w:w="140" w:type="dxa"/>
            </w:tcMar>
          </w:tcPr>
          <w:p>
            <w:pPr>
              <w:jc w:val="left"/>
            </w:pPr>
            <w:r>
              <w:rPr>
                <w:rFonts w:ascii="Calibri" w:hAnsi="Calibri"/>
                <w:sz w:val="18"/>
              </w:rPr>
              <w:t>0.0857</w:t>
            </w:r>
          </w:p>
        </w:tc>
        <w:tc>
          <w:tcPr>
            <w:tcW w:type="dxa" w:w="1584"/>
            <w:shd w:fill="FFFFFF"/>
            <w:tcMar>
              <w:top w:w="100" w:type="dxa"/>
              <w:bottom w:w="100" w:type="dxa"/>
              <w:left w:w="140" w:type="dxa"/>
              <w:right w:w="140" w:type="dxa"/>
            </w:tcMar>
          </w:tcPr>
          <w:p>
            <w:pPr>
              <w:jc w:val="left"/>
            </w:pPr>
            <w:r>
              <w:rPr>
                <w:rFonts w:ascii="Calibri" w:hAnsi="Calibri"/>
                <w:sz w:val="18"/>
              </w:rPr>
              <w:t>0.1370</w:t>
            </w:r>
          </w:p>
        </w:tc>
        <w:tc>
          <w:tcPr>
            <w:tcW w:type="dxa" w:w="1584"/>
            <w:shd w:fill="FFFFFF"/>
            <w:tcMar>
              <w:top w:w="100" w:type="dxa"/>
              <w:bottom w:w="100" w:type="dxa"/>
              <w:left w:w="140" w:type="dxa"/>
              <w:right w:w="140" w:type="dxa"/>
            </w:tcMar>
          </w:tcPr>
          <w:p>
            <w:pPr>
              <w:jc w:val="left"/>
            </w:pPr>
            <w:r>
              <w:rPr>
                <w:rFonts w:ascii="Calibri" w:hAnsi="Calibri"/>
                <w:sz w:val="18"/>
              </w:rPr>
              <w:t>0.6015</w:t>
            </w:r>
          </w:p>
        </w:tc>
        <w:tc>
          <w:tcPr>
            <w:tcW w:type="dxa" w:w="1584"/>
            <w:shd w:fill="FFFFFF"/>
            <w:tcMar>
              <w:top w:w="100" w:type="dxa"/>
              <w:bottom w:w="100" w:type="dxa"/>
              <w:left w:w="140" w:type="dxa"/>
              <w:right w:w="140" w:type="dxa"/>
            </w:tcMar>
          </w:tcPr>
          <w:p>
            <w:pPr>
              <w:jc w:val="left"/>
            </w:pPr>
            <w:r>
              <w:rPr>
                <w:rFonts w:ascii="Calibri" w:hAnsi="Calibri"/>
                <w:sz w:val="18"/>
              </w:rPr>
              <w:t>Moderately Calibrated</w:t>
            </w:r>
          </w:p>
        </w:tc>
      </w:tr>
      <w:tr>
        <w:tc>
          <w:tcPr>
            <w:tcW w:type="dxa" w:w="1872"/>
            <w:shd w:fill="F8F9FA"/>
            <w:tcMar>
              <w:top w:w="100" w:type="dxa"/>
              <w:bottom w:w="100" w:type="dxa"/>
              <w:left w:w="140" w:type="dxa"/>
              <w:right w:w="140" w:type="dxa"/>
            </w:tcMar>
          </w:tcPr>
          <w:p>
            <w:pPr>
              <w:jc w:val="left"/>
            </w:pPr>
            <w:r>
              <w:rPr>
                <w:rFonts w:ascii="Calibri" w:hAnsi="Calibri"/>
                <w:sz w:val="18"/>
              </w:rPr>
              <w:t>Balanced Platt Calibrated XGBoost</w:t>
            </w:r>
          </w:p>
        </w:tc>
        <w:tc>
          <w:tcPr>
            <w:tcW w:type="dxa" w:w="1584"/>
            <w:shd w:fill="F8F9FA"/>
            <w:tcMar>
              <w:top w:w="100" w:type="dxa"/>
              <w:bottom w:w="100" w:type="dxa"/>
              <w:left w:w="140" w:type="dxa"/>
              <w:right w:w="140" w:type="dxa"/>
            </w:tcMar>
          </w:tcPr>
          <w:p>
            <w:pPr>
              <w:jc w:val="left"/>
            </w:pPr>
            <w:r>
              <w:rPr>
                <w:rFonts w:ascii="Calibri" w:hAnsi="Calibri"/>
                <w:sz w:val="18"/>
              </w:rPr>
              <w:t>0.7124</w:t>
            </w:r>
          </w:p>
        </w:tc>
        <w:tc>
          <w:tcPr>
            <w:tcW w:type="dxa" w:w="1584"/>
            <w:shd w:fill="F8F9FA"/>
            <w:tcMar>
              <w:top w:w="100" w:type="dxa"/>
              <w:bottom w:w="100" w:type="dxa"/>
              <w:left w:w="140" w:type="dxa"/>
              <w:right w:w="140" w:type="dxa"/>
            </w:tcMar>
          </w:tcPr>
          <w:p>
            <w:pPr>
              <w:jc w:val="left"/>
            </w:pPr>
            <w:r>
              <w:rPr>
                <w:rFonts w:ascii="Calibri" w:hAnsi="Calibri"/>
                <w:sz w:val="18"/>
              </w:rPr>
              <w:t>0.0656</w:t>
            </w:r>
          </w:p>
        </w:tc>
        <w:tc>
          <w:tcPr>
            <w:tcW w:type="dxa" w:w="1584"/>
            <w:shd w:fill="F8F9FA"/>
            <w:tcMar>
              <w:top w:w="100" w:type="dxa"/>
              <w:bottom w:w="100" w:type="dxa"/>
              <w:left w:w="140" w:type="dxa"/>
              <w:right w:w="140" w:type="dxa"/>
            </w:tcMar>
          </w:tcPr>
          <w:p>
            <w:pPr>
              <w:jc w:val="left"/>
            </w:pPr>
            <w:r>
              <w:rPr>
                <w:rFonts w:ascii="Calibri" w:hAnsi="Calibri"/>
                <w:sz w:val="18"/>
              </w:rPr>
              <w:t>0.1294</w:t>
            </w:r>
          </w:p>
        </w:tc>
        <w:tc>
          <w:tcPr>
            <w:tcW w:type="dxa" w:w="1584"/>
            <w:shd w:fill="F8F9FA"/>
            <w:tcMar>
              <w:top w:w="100" w:type="dxa"/>
              <w:bottom w:w="100" w:type="dxa"/>
              <w:left w:w="140" w:type="dxa"/>
              <w:right w:w="140" w:type="dxa"/>
            </w:tcMar>
          </w:tcPr>
          <w:p>
            <w:pPr>
              <w:jc w:val="left"/>
            </w:pPr>
            <w:r>
              <w:rPr>
                <w:rFonts w:ascii="Calibri" w:hAnsi="Calibri"/>
                <w:sz w:val="18"/>
              </w:rPr>
              <w:t>0.6128</w:t>
            </w:r>
          </w:p>
        </w:tc>
        <w:tc>
          <w:tcPr>
            <w:tcW w:type="dxa" w:w="1584"/>
            <w:shd w:fill="F8F9FA"/>
            <w:tcMar>
              <w:top w:w="100" w:type="dxa"/>
              <w:bottom w:w="100" w:type="dxa"/>
              <w:left w:w="140" w:type="dxa"/>
              <w:right w:w="140" w:type="dxa"/>
            </w:tcMar>
          </w:tcPr>
          <w:p>
            <w:pPr>
              <w:jc w:val="left"/>
            </w:pPr>
            <w:r>
              <w:rPr>
                <w:rFonts w:ascii="Calibri" w:hAnsi="Calibri"/>
                <w:sz w:val="18"/>
              </w:rPr>
              <w:t>OPTIMAL / PRODUCTION SELECTED</w:t>
            </w:r>
          </w:p>
        </w:tc>
      </w:tr>
    </w:tbl>
    <w:p>
      <w:pPr>
        <w:spacing w:after="160"/>
      </w:pPr>
    </w:p>
    <w:tbl>
      <w:tblPr>
        <w:tblW w:type="auto" w:w="0"/>
        <w:jc w:val="center"/>
        <w:tblLook w:firstColumn="1" w:firstRow="1" w:lastColumn="0" w:lastRow="0" w:noHBand="0" w:noVBand="1" w:val="04A0"/>
      </w:tblPr>
      <w:tblGrid>
        <w:gridCol w:w="9936"/>
      </w:tblGrid>
      <w:tr>
        <w:tc>
          <w:tcPr>
            <w:tcW w:type="dxa" w:w="9936"/>
            <w:shd w:fill="EBF3FA"/>
            <w:tcMar>
              <w:top w:w="140" w:type="dxa"/>
              <w:bottom w:w="140" w:type="dxa"/>
              <w:left w:w="200" w:type="dxa"/>
              <w:right w:w="200" w:type="dxa"/>
            </w:tcMar>
            <w:tcBorders>
              <w:top w:val="none"/>
              <w:left w:val="single" w:sz="36" w:space="0" w:color="003366"/>
              <w:bottom w:val="none"/>
              <w:right w:val="none"/>
            </w:tcBorders>
          </w:tcPr>
          <w:p>
            <w:pPr>
              <w:spacing w:before="40" w:after="40"/>
            </w:pPr>
            <w:r>
              <w:rPr>
                <w:b/>
                <w:color w:val="003366"/>
              </w:rPr>
              <w:t xml:space="preserve">[KEY FINDING] </w:t>
            </w:r>
            <w:r>
              <w:rPr>
                <w:sz w:val="20"/>
              </w:rPr>
              <w:t>Balanced Platt Scaling achieved a **55.7% reduction in Log-Loss** and a **54.3% reduction in Expected Calibration Error**, aligning model confidence with true empirical accuracy.</w:t>
            </w:r>
          </w:p>
        </w:tc>
      </w:tr>
    </w:tbl>
    <w:p>
      <w:pPr>
        <w:spacing w:after="120"/>
      </w:pPr>
    </w:p>
    <w:p>
      <w:pPr>
        <w:pStyle w:val="Heading1"/>
        <w:spacing w:before="360" w:after="160"/>
      </w:pPr>
      <w:r>
        <w:t>16. Explainable AI / SHAP</w:t>
      </w:r>
    </w:p>
    <w:p>
      <w:pPr>
        <w:spacing w:after="120" w:line="276" w:lineRule="auto"/>
      </w:pPr>
      <w:r>
        <w:rPr>
          <w:sz w:val="21"/>
        </w:rPr>
        <w:t>To ensure operational transparency, AGNI-NETRA integrates TreeExplainer SHAP (SHapley Additive exPlanations). For every inference, the exact contribution \phi_{j,k} of each feature k to the log-odds of class c is computed:</w:t>
      </w:r>
    </w:p>
    <w:p>
      <w:pPr>
        <w:spacing w:before="80" w:after="120"/>
        <w:jc w:val="center"/>
      </w:pPr>
      <w:r>
        <w:rPr>
          <w:rFonts w:ascii="Cambria Math" w:hAnsi="Cambria Math"/>
          <w:i/>
          <w:sz w:val="22"/>
        </w:rPr>
        <w:t>f_c(\mathbf{x}_j) = \phi_0(c) + \sum_{k=1}^{26} \phi_{j,k}(c)</w:t>
      </w:r>
    </w:p>
    <w:p>
      <w:pPr>
        <w:spacing w:after="120" w:line="276" w:lineRule="auto"/>
      </w:pPr>
      <w:r>
        <w:rPr>
          <w:sz w:val="21"/>
        </w:rPr>
        <w:t>Sample Operational Event: EVT-2026-08-0001 (Gujarat Petrochemical Cluster)</w:t>
      </w:r>
    </w:p>
    <w:p>
      <w:pPr>
        <w:spacing w:after="120" w:line="276" w:lineRule="auto"/>
      </w:pPr>
      <w:r>
        <w:rPr>
          <w:sz w:val="21"/>
        </w:rPr>
        <w:t>Ground Truth: Industrial Fire | Predicted: Industrial Fire (Calibrated P = 0.884)</w:t>
      </w:r>
    </w:p>
    <w:p>
      <w:pPr>
        <w:spacing w:after="120" w:line="276" w:lineRule="auto"/>
      </w:pPr>
      <w:r>
        <w:rPr>
          <w:sz w:val="21"/>
        </w:rPr>
        <w:t>SHAP Local Attribution Waterfall:</w:t>
      </w:r>
    </w:p>
    <w:p>
      <w:pPr>
        <w:spacing w:after="120" w:line="276" w:lineRule="auto"/>
      </w:pPr>
      <w:r>
        <w:rPr>
          <w:sz w:val="21"/>
        </w:rPr>
        <w:t>(+) dist_to_industrial_m = 48.2m     --&gt; +0.412 log-odds (High proximity to petrochemical plant)</w:t>
      </w:r>
    </w:p>
    <w:p>
      <w:pPr>
        <w:spacing w:after="120" w:line="276" w:lineRule="auto"/>
      </w:pPr>
      <w:r>
        <w:rPr>
          <w:sz w:val="21"/>
        </w:rPr>
        <w:t>(+) baseline_dev_ratio = 12.4x       --&gt; +0.285 log-odds (12x spike above 3-year baseline)</w:t>
      </w:r>
    </w:p>
    <w:p>
      <w:pPr>
        <w:spacing w:after="120" w:line="276" w:lineRule="auto"/>
      </w:pPr>
      <w:r>
        <w:rPr>
          <w:sz w:val="21"/>
        </w:rPr>
        <w:t>(+) frp_max = 68.4 MW                --&gt; +0.194 log-odds (High radiative thermal emission)</w:t>
      </w:r>
    </w:p>
    <w:p>
      <w:pPr>
        <w:spacing w:after="120" w:line="276" w:lineRule="auto"/>
      </w:pPr>
      <w:r>
        <w:rPr>
          <w:sz w:val="21"/>
        </w:rPr>
        <w:t>(-) dist_to_pa_m = 24.5 km           --&gt; -0.082 log-odds (Remote from protected forest areas)</w:t>
      </w:r>
    </w:p>
    <w:p>
      <w:pPr>
        <w:spacing w:after="120" w:line="276" w:lineRule="auto"/>
      </w:pPr>
      <w:r>
        <w:rPr>
          <w:sz w:val="21"/>
        </w:rPr>
        <w:t>------------------------------------------------------------------------------------------------</w:t>
      </w:r>
    </w:p>
    <w:p>
      <w:pPr>
        <w:spacing w:after="120" w:line="276" w:lineRule="auto"/>
      </w:pPr>
      <w:r>
        <w:rPr>
          <w:sz w:val="21"/>
        </w:rPr>
        <w:t>Result: Net log-odds strongly favors Industrial Fire attribution over routine Gas Flare.</w:t>
      </w:r>
    </w:p>
    <w:p>
      <w:pPr>
        <w:pStyle w:val="Heading1"/>
        <w:spacing w:before="360" w:after="160"/>
      </w:pPr>
      <w:r>
        <w:t>17. Fire Risk Scoring</w:t>
      </w:r>
    </w:p>
    <w:p>
      <w:pPr>
        <w:spacing w:after="120" w:line="276" w:lineRule="auto"/>
      </w:pPr>
      <w:r>
        <w:rPr>
          <w:sz w:val="21"/>
        </w:rPr>
        <w:t>Event severity is evaluated through a transparent 0–100 Multi-Factor Fire Risk Score:</w:t>
      </w:r>
    </w:p>
    <w:p>
      <w:pPr>
        <w:spacing w:before="80" w:after="120"/>
        <w:jc w:val="center"/>
      </w:pPr>
      <w:r>
        <w:rPr>
          <w:rFonts w:ascii="Cambria Math" w:hAnsi="Cambria Math"/>
          <w:i/>
          <w:sz w:val="22"/>
        </w:rPr>
        <w:t>\mathcal{R} = 0.40 \cdot \mathcal{S}_{\text{Intensity}} + 0.35 \cdot \mathcal{S}_{\text{Asset}} + 0.25 \cdot \mathcal{S}_{\text{Ecology}}</w:t>
      </w:r>
    </w:p>
    <w:p>
      <w:pPr>
        <w:pStyle w:val="Heading2"/>
        <w:spacing w:before="240" w:after="120"/>
      </w:pPr>
      <w:r>
        <w:t>17.1 Subscore Formulations</w:t>
      </w:r>
    </w:p>
    <w:p>
      <w:pPr>
        <w:spacing w:after="120" w:line="276" w:lineRule="auto"/>
      </w:pPr>
      <w:r>
        <w:rPr>
          <w:sz w:val="21"/>
        </w:rPr>
        <w:t>1. Thermal Intensity Subscore (\mathcal{S}_{\text{Intensity}} \in [0, 100]):</w:t>
      </w:r>
    </w:p>
    <w:p>
      <w:pPr>
        <w:spacing w:before="80" w:after="120"/>
        <w:jc w:val="center"/>
      </w:pPr>
      <w:r>
        <w:rPr>
          <w:rFonts w:ascii="Cambria Math" w:hAnsi="Cambria Math"/>
          <w:i/>
          <w:sz w:val="22"/>
        </w:rPr>
        <w:t>\mathcal{S}_{\text{Intensity}} = 50 \cdot \min\left(1.0, \frac{\text{FRP}_{\max}}{100.0}\right) + 30 \cdot \min\left(1.0, \frac{\Delta T_{\text{Kelvin}}}{80.0}\right) + 20 \cdot \min\left(1.0, \frac{N_{\text{obs}}}{10.0}\right)</w:t>
      </w:r>
    </w:p>
    <w:p>
      <w:pPr>
        <w:spacing w:after="120" w:line="276" w:lineRule="auto"/>
      </w:pPr>
      <w:r>
        <w:rPr>
          <w:sz w:val="21"/>
        </w:rPr>
        <w:t>2. Asset Proximity Subscore (\mathcal{S}_{\text{Asset}} \in [0, 100]):</w:t>
      </w:r>
    </w:p>
    <w:p>
      <w:pPr>
        <w:spacing w:before="80" w:after="120"/>
        <w:jc w:val="center"/>
      </w:pPr>
      <w:r>
        <w:rPr>
          <w:rFonts w:ascii="Cambria Math" w:hAnsi="Cambria Math"/>
          <w:i/>
          <w:sz w:val="22"/>
        </w:rPr>
        <w:t>\mathcal{S}_{\text{Asset}} = 100 \cdot \exp\left( -\frac{\min(d_{\text{industrial}}, d_{\text{power}}, d_{\text{mining}})}{1500.0} \right)</w:t>
      </w:r>
    </w:p>
    <w:p>
      <w:pPr>
        <w:spacing w:after="120" w:line="276" w:lineRule="auto"/>
      </w:pPr>
      <w:r>
        <w:rPr>
          <w:sz w:val="21"/>
        </w:rPr>
        <w:t>3. Ecological Vulnerability Subscore (\mathcal{S}_{\text{Ecology}} \in [0, 100]):</w:t>
      </w:r>
    </w:p>
    <w:p>
      <w:pPr>
        <w:spacing w:before="80" w:after="120"/>
        <w:jc w:val="center"/>
      </w:pPr>
      <w:r>
        <w:rPr>
          <w:rFonts w:ascii="Cambria Math" w:hAnsi="Cambria Math"/>
          <w:i/>
          <w:sz w:val="22"/>
        </w:rPr>
        <w:t>\mathcal{S}_{\text{Ecology}} = 50 \cdot \mathbb{I}(\text{in\_PA}) + 30 \cdot \exp\left(-\frac{d_{\text{PA}}}{5000.0}\right) + 20 \cdot \left(\frac{\text{CanopyPct}}{100.0}\right)</w:t>
      </w:r>
    </w:p>
    <w:p>
      <w:pPr>
        <w:pStyle w:val="Heading2"/>
        <w:spacing w:before="240" w:after="120"/>
      </w:pPr>
      <w:r>
        <w:t>17.2 Risk Tiers</w:t>
      </w:r>
    </w:p>
    <w:tbl>
      <w:tblPr>
        <w:tblW w:type="auto" w:w="0"/>
        <w:jc w:val="center"/>
        <w:tblLook w:firstColumn="1" w:firstRow="1" w:lastColumn="0" w:lastRow="0" w:noHBand="0" w:noVBand="1" w:val="04A0"/>
      </w:tblPr>
      <w:tblGrid>
        <w:gridCol w:w="2484"/>
        <w:gridCol w:w="2484"/>
        <w:gridCol w:w="2484"/>
        <w:gridCol w:w="2484"/>
      </w:tblGrid>
      <w:tr>
        <w:tc>
          <w:tcPr>
            <w:tcW w:type="dxa" w:w="2592"/>
            <w:shd w:fill="003366"/>
            <w:tcMar>
              <w:top w:w="120" w:type="dxa"/>
              <w:bottom w:w="120" w:type="dxa"/>
              <w:left w:w="140" w:type="dxa"/>
              <w:right w:w="140" w:type="dxa"/>
            </w:tcMar>
          </w:tcPr>
          <w:p>
            <w:pPr>
              <w:jc w:val="left"/>
            </w:pPr>
            <w:r>
              <w:rPr>
                <w:rFonts w:ascii="Calibri" w:hAnsi="Calibri"/>
                <w:b/>
                <w:color w:val="FFFFFF"/>
                <w:sz w:val="19"/>
              </w:rPr>
              <w:t>Score Range</w:t>
            </w:r>
          </w:p>
        </w:tc>
        <w:tc>
          <w:tcPr>
            <w:tcW w:type="dxa" w:w="2304"/>
            <w:shd w:fill="003366"/>
            <w:tcMar>
              <w:top w:w="120" w:type="dxa"/>
              <w:bottom w:w="120" w:type="dxa"/>
              <w:left w:w="140" w:type="dxa"/>
              <w:right w:w="140" w:type="dxa"/>
            </w:tcMar>
          </w:tcPr>
          <w:p>
            <w:pPr>
              <w:jc w:val="left"/>
            </w:pPr>
            <w:r>
              <w:rPr>
                <w:rFonts w:ascii="Calibri" w:hAnsi="Calibri"/>
                <w:b/>
                <w:color w:val="FFFFFF"/>
                <w:sz w:val="19"/>
              </w:rPr>
              <w:t>Risk Level</w:t>
            </w:r>
          </w:p>
        </w:tc>
        <w:tc>
          <w:tcPr>
            <w:tcW w:type="dxa" w:w="2304"/>
            <w:shd w:fill="003366"/>
            <w:tcMar>
              <w:top w:w="120" w:type="dxa"/>
              <w:bottom w:w="120" w:type="dxa"/>
              <w:left w:w="140" w:type="dxa"/>
              <w:right w:w="140" w:type="dxa"/>
            </w:tcMar>
          </w:tcPr>
          <w:p>
            <w:pPr>
              <w:jc w:val="left"/>
            </w:pPr>
            <w:r>
              <w:rPr>
                <w:rFonts w:ascii="Calibri" w:hAnsi="Calibri"/>
                <w:b/>
                <w:color w:val="FFFFFF"/>
                <w:sz w:val="19"/>
              </w:rPr>
              <w:t>Operational Severity</w:t>
            </w:r>
          </w:p>
        </w:tc>
        <w:tc>
          <w:tcPr>
            <w:tcW w:type="dxa" w:w="2592"/>
            <w:shd w:fill="003366"/>
            <w:tcMar>
              <w:top w:w="120" w:type="dxa"/>
              <w:bottom w:w="120" w:type="dxa"/>
              <w:left w:w="140" w:type="dxa"/>
              <w:right w:w="140" w:type="dxa"/>
            </w:tcMar>
          </w:tcPr>
          <w:p>
            <w:pPr>
              <w:jc w:val="left"/>
            </w:pPr>
            <w:r>
              <w:rPr>
                <w:rFonts w:ascii="Calibri" w:hAnsi="Calibri"/>
                <w:b/>
                <w:color w:val="FFFFFF"/>
                <w:sz w:val="19"/>
              </w:rPr>
              <w:t>Response Protocol</w:t>
            </w:r>
          </w:p>
        </w:tc>
      </w:tr>
      <w:tr>
        <w:tc>
          <w:tcPr>
            <w:tcW w:type="dxa" w:w="2592"/>
            <w:shd w:fill="FFFFFF"/>
            <w:tcMar>
              <w:top w:w="100" w:type="dxa"/>
              <w:bottom w:w="100" w:type="dxa"/>
              <w:left w:w="140" w:type="dxa"/>
              <w:right w:w="140" w:type="dxa"/>
            </w:tcMar>
          </w:tcPr>
          <w:p>
            <w:pPr>
              <w:jc w:val="left"/>
            </w:pPr>
            <w:r>
              <w:rPr>
                <w:rFonts w:ascii="Calibri" w:hAnsi="Calibri"/>
                <w:sz w:val="18"/>
              </w:rPr>
              <w:t>80 – 100</w:t>
            </w:r>
          </w:p>
        </w:tc>
        <w:tc>
          <w:tcPr>
            <w:tcW w:type="dxa" w:w="2304"/>
            <w:shd w:fill="FFFFFF"/>
            <w:tcMar>
              <w:top w:w="100" w:type="dxa"/>
              <w:bottom w:w="100" w:type="dxa"/>
              <w:left w:w="140" w:type="dxa"/>
              <w:right w:w="140" w:type="dxa"/>
            </w:tcMar>
          </w:tcPr>
          <w:p>
            <w:pPr>
              <w:jc w:val="left"/>
            </w:pPr>
            <w:r>
              <w:rPr>
                <w:rFonts w:ascii="Calibri" w:hAnsi="Calibri"/>
                <w:sz w:val="18"/>
              </w:rPr>
              <w:t>CRITICAL</w:t>
            </w:r>
          </w:p>
        </w:tc>
        <w:tc>
          <w:tcPr>
            <w:tcW w:type="dxa" w:w="2304"/>
            <w:shd w:fill="FFFFFF"/>
            <w:tcMar>
              <w:top w:w="100" w:type="dxa"/>
              <w:bottom w:w="100" w:type="dxa"/>
              <w:left w:w="140" w:type="dxa"/>
              <w:right w:w="140" w:type="dxa"/>
            </w:tcMar>
          </w:tcPr>
          <w:p>
            <w:pPr>
              <w:jc w:val="left"/>
            </w:pPr>
            <w:r>
              <w:rPr>
                <w:rFonts w:ascii="Calibri" w:hAnsi="Calibri"/>
                <w:sz w:val="18"/>
              </w:rPr>
              <w:t>Extreme threat to life, high-value infrastructure, or core tiger reserve</w:t>
            </w:r>
          </w:p>
        </w:tc>
        <w:tc>
          <w:tcPr>
            <w:tcW w:type="dxa" w:w="2592"/>
            <w:shd w:fill="FFFFFF"/>
            <w:tcMar>
              <w:top w:w="100" w:type="dxa"/>
              <w:bottom w:w="100" w:type="dxa"/>
              <w:left w:w="140" w:type="dxa"/>
              <w:right w:w="140" w:type="dxa"/>
            </w:tcMar>
          </w:tcPr>
          <w:p>
            <w:pPr>
              <w:jc w:val="left"/>
            </w:pPr>
            <w:r>
              <w:rPr>
                <w:rFonts w:ascii="Calibri" w:hAnsi="Calibri"/>
                <w:sz w:val="18"/>
              </w:rPr>
              <w:t>Immediate Priority 1 Analyst Escalation &amp; Protocol Audit</w:t>
            </w:r>
          </w:p>
        </w:tc>
      </w:tr>
      <w:tr>
        <w:tc>
          <w:tcPr>
            <w:tcW w:type="dxa" w:w="2592"/>
            <w:shd w:fill="F8F9FA"/>
            <w:tcMar>
              <w:top w:w="100" w:type="dxa"/>
              <w:bottom w:w="100" w:type="dxa"/>
              <w:left w:w="140" w:type="dxa"/>
              <w:right w:w="140" w:type="dxa"/>
            </w:tcMar>
          </w:tcPr>
          <w:p>
            <w:pPr>
              <w:jc w:val="left"/>
            </w:pPr>
            <w:r>
              <w:rPr>
                <w:rFonts w:ascii="Calibri" w:hAnsi="Calibri"/>
                <w:sz w:val="18"/>
              </w:rPr>
              <w:t>60 – 79</w:t>
            </w:r>
          </w:p>
        </w:tc>
        <w:tc>
          <w:tcPr>
            <w:tcW w:type="dxa" w:w="2304"/>
            <w:shd w:fill="F8F9FA"/>
            <w:tcMar>
              <w:top w:w="100" w:type="dxa"/>
              <w:bottom w:w="100" w:type="dxa"/>
              <w:left w:w="140" w:type="dxa"/>
              <w:right w:w="140" w:type="dxa"/>
            </w:tcMar>
          </w:tcPr>
          <w:p>
            <w:pPr>
              <w:jc w:val="left"/>
            </w:pPr>
            <w:r>
              <w:rPr>
                <w:rFonts w:ascii="Calibri" w:hAnsi="Calibri"/>
                <w:sz w:val="18"/>
              </w:rPr>
              <w:t>HIGH</w:t>
            </w:r>
          </w:p>
        </w:tc>
        <w:tc>
          <w:tcPr>
            <w:tcW w:type="dxa" w:w="2304"/>
            <w:shd w:fill="F8F9FA"/>
            <w:tcMar>
              <w:top w:w="100" w:type="dxa"/>
              <w:bottom w:w="100" w:type="dxa"/>
              <w:left w:w="140" w:type="dxa"/>
              <w:right w:w="140" w:type="dxa"/>
            </w:tcMar>
          </w:tcPr>
          <w:p>
            <w:pPr>
              <w:jc w:val="left"/>
            </w:pPr>
            <w:r>
              <w:rPr>
                <w:rFonts w:ascii="Calibri" w:hAnsi="Calibri"/>
                <w:sz w:val="18"/>
              </w:rPr>
              <w:t>Significant fire near industrial assets or dense forest cover</w:t>
            </w:r>
          </w:p>
        </w:tc>
        <w:tc>
          <w:tcPr>
            <w:tcW w:type="dxa" w:w="2592"/>
            <w:shd w:fill="F8F9FA"/>
            <w:tcMar>
              <w:top w:w="100" w:type="dxa"/>
              <w:bottom w:w="100" w:type="dxa"/>
              <w:left w:w="140" w:type="dxa"/>
              <w:right w:w="140" w:type="dxa"/>
            </w:tcMar>
          </w:tcPr>
          <w:p>
            <w:pPr>
              <w:jc w:val="left"/>
            </w:pPr>
            <w:r>
              <w:rPr>
                <w:rFonts w:ascii="Calibri" w:hAnsi="Calibri"/>
                <w:sz w:val="18"/>
              </w:rPr>
              <w:t>Priority 2 Command Center Review within 15 minutes</w:t>
            </w:r>
          </w:p>
        </w:tc>
      </w:tr>
      <w:tr>
        <w:tc>
          <w:tcPr>
            <w:tcW w:type="dxa" w:w="2592"/>
            <w:shd w:fill="FFFFFF"/>
            <w:tcMar>
              <w:top w:w="100" w:type="dxa"/>
              <w:bottom w:w="100" w:type="dxa"/>
              <w:left w:w="140" w:type="dxa"/>
              <w:right w:w="140" w:type="dxa"/>
            </w:tcMar>
          </w:tcPr>
          <w:p>
            <w:pPr>
              <w:jc w:val="left"/>
            </w:pPr>
            <w:r>
              <w:rPr>
                <w:rFonts w:ascii="Calibri" w:hAnsi="Calibri"/>
                <w:sz w:val="18"/>
              </w:rPr>
              <w:t>35 – 59</w:t>
            </w:r>
          </w:p>
        </w:tc>
        <w:tc>
          <w:tcPr>
            <w:tcW w:type="dxa" w:w="2304"/>
            <w:shd w:fill="FFFFFF"/>
            <w:tcMar>
              <w:top w:w="100" w:type="dxa"/>
              <w:bottom w:w="100" w:type="dxa"/>
              <w:left w:w="140" w:type="dxa"/>
              <w:right w:w="140" w:type="dxa"/>
            </w:tcMar>
          </w:tcPr>
          <w:p>
            <w:pPr>
              <w:jc w:val="left"/>
            </w:pPr>
            <w:r>
              <w:rPr>
                <w:rFonts w:ascii="Calibri" w:hAnsi="Calibri"/>
                <w:sz w:val="18"/>
              </w:rPr>
              <w:t>MODERATE</w:t>
            </w:r>
          </w:p>
        </w:tc>
        <w:tc>
          <w:tcPr>
            <w:tcW w:type="dxa" w:w="2304"/>
            <w:shd w:fill="FFFFFF"/>
            <w:tcMar>
              <w:top w:w="100" w:type="dxa"/>
              <w:bottom w:w="100" w:type="dxa"/>
              <w:left w:w="140" w:type="dxa"/>
              <w:right w:w="140" w:type="dxa"/>
            </w:tcMar>
          </w:tcPr>
          <w:p>
            <w:pPr>
              <w:jc w:val="left"/>
            </w:pPr>
            <w:r>
              <w:rPr>
                <w:rFonts w:ascii="Calibri" w:hAnsi="Calibri"/>
                <w:sz w:val="18"/>
              </w:rPr>
              <w:t>Routine agricultural burning or controlled industrial flaring</w:t>
            </w:r>
          </w:p>
        </w:tc>
        <w:tc>
          <w:tcPr>
            <w:tcW w:type="dxa" w:w="2592"/>
            <w:shd w:fill="FFFFFF"/>
            <w:tcMar>
              <w:top w:w="100" w:type="dxa"/>
              <w:bottom w:w="100" w:type="dxa"/>
              <w:left w:w="140" w:type="dxa"/>
              <w:right w:w="140" w:type="dxa"/>
            </w:tcMar>
          </w:tcPr>
          <w:p>
            <w:pPr>
              <w:jc w:val="left"/>
            </w:pPr>
            <w:r>
              <w:rPr>
                <w:rFonts w:ascii="Calibri" w:hAnsi="Calibri"/>
                <w:sz w:val="18"/>
              </w:rPr>
              <w:t>Standard Operational Monitoring Queue</w:t>
            </w:r>
          </w:p>
        </w:tc>
      </w:tr>
      <w:tr>
        <w:tc>
          <w:tcPr>
            <w:tcW w:type="dxa" w:w="2592"/>
            <w:shd w:fill="F8F9FA"/>
            <w:tcMar>
              <w:top w:w="100" w:type="dxa"/>
              <w:bottom w:w="100" w:type="dxa"/>
              <w:left w:w="140" w:type="dxa"/>
              <w:right w:w="140" w:type="dxa"/>
            </w:tcMar>
          </w:tcPr>
          <w:p>
            <w:pPr>
              <w:jc w:val="left"/>
            </w:pPr>
            <w:r>
              <w:rPr>
                <w:rFonts w:ascii="Calibri" w:hAnsi="Calibri"/>
                <w:sz w:val="18"/>
              </w:rPr>
              <w:t>0 – 34</w:t>
            </w:r>
          </w:p>
        </w:tc>
        <w:tc>
          <w:tcPr>
            <w:tcW w:type="dxa" w:w="2304"/>
            <w:shd w:fill="F8F9FA"/>
            <w:tcMar>
              <w:top w:w="100" w:type="dxa"/>
              <w:bottom w:w="100" w:type="dxa"/>
              <w:left w:w="140" w:type="dxa"/>
              <w:right w:w="140" w:type="dxa"/>
            </w:tcMar>
          </w:tcPr>
          <w:p>
            <w:pPr>
              <w:jc w:val="left"/>
            </w:pPr>
            <w:r>
              <w:rPr>
                <w:rFonts w:ascii="Calibri" w:hAnsi="Calibri"/>
                <w:sz w:val="18"/>
              </w:rPr>
              <w:t>LOW</w:t>
            </w:r>
          </w:p>
        </w:tc>
        <w:tc>
          <w:tcPr>
            <w:tcW w:type="dxa" w:w="2304"/>
            <w:shd w:fill="F8F9FA"/>
            <w:tcMar>
              <w:top w:w="100" w:type="dxa"/>
              <w:bottom w:w="100" w:type="dxa"/>
              <w:left w:w="140" w:type="dxa"/>
              <w:right w:w="140" w:type="dxa"/>
            </w:tcMar>
          </w:tcPr>
          <w:p>
            <w:pPr>
              <w:jc w:val="left"/>
            </w:pPr>
            <w:r>
              <w:rPr>
                <w:rFonts w:ascii="Calibri" w:hAnsi="Calibri"/>
                <w:sz w:val="18"/>
              </w:rPr>
              <w:t>Low-intensity, isolated thermal detection in non-sensitive terrain</w:t>
            </w:r>
          </w:p>
        </w:tc>
        <w:tc>
          <w:tcPr>
            <w:tcW w:type="dxa" w:w="2592"/>
            <w:shd w:fill="F8F9FA"/>
            <w:tcMar>
              <w:top w:w="100" w:type="dxa"/>
              <w:bottom w:w="100" w:type="dxa"/>
              <w:left w:w="140" w:type="dxa"/>
              <w:right w:w="140" w:type="dxa"/>
            </w:tcMar>
          </w:tcPr>
          <w:p>
            <w:pPr>
              <w:jc w:val="left"/>
            </w:pPr>
            <w:r>
              <w:rPr>
                <w:rFonts w:ascii="Calibri" w:hAnsi="Calibri"/>
                <w:sz w:val="18"/>
              </w:rPr>
              <w:t>Automated Background Logging</w:t>
            </w:r>
          </w:p>
        </w:tc>
      </w:tr>
    </w:tbl>
    <w:p>
      <w:pPr>
        <w:spacing w:after="160"/>
      </w:pPr>
    </w:p>
    <w:p>
      <w:pPr>
        <w:pStyle w:val="Heading1"/>
        <w:spacing w:before="360" w:after="160"/>
      </w:pPr>
      <w:r>
        <w:t>18. Human-in-the-Loop Tri-Tier Decision System</w:t>
      </w:r>
    </w:p>
    <w:p>
      <w:pPr>
        <w:spacing w:after="120" w:line="276" w:lineRule="auto"/>
      </w:pPr>
      <w:r>
        <w:rPr>
          <w:sz w:val="21"/>
        </w:rPr>
        <w:t>To prevent automated false-dispatch catastrophes while eliminating analyst burnout, AGNI-NETRA implements an Uncertainty-Aware Tri-Tier Routing Policy:</w:t>
      </w:r>
    </w:p>
    <w:p>
      <w:pPr>
        <w:spacing w:after="120" w:line="276" w:lineRule="auto"/>
      </w:pPr>
      <w:r>
        <w:rPr>
          <w:sz w:val="21"/>
        </w:rPr>
        <w:t>[ Event Inference ]</w:t>
      </w:r>
    </w:p>
    <w:p>
      <w:pPr>
        <w:spacing w:after="120" w:line="276" w:lineRule="auto"/>
      </w:pPr>
      <w:r>
        <w:rPr>
          <w:sz w:val="21"/>
        </w:rPr>
        <w:t>│</w:t>
      </w:r>
    </w:p>
    <w:p>
      <w:pPr>
        <w:spacing w:after="120" w:line="276" w:lineRule="auto"/>
      </w:pPr>
      <w:r>
        <w:rPr>
          <w:sz w:val="21"/>
        </w:rPr>
        <w:t>┌────────────────┴────────────────┐</w:t>
      </w:r>
    </w:p>
    <w:p>
      <w:pPr>
        <w:spacing w:after="120" w:line="276" w:lineRule="auto"/>
      </w:pPr>
      <w:r>
        <w:rPr>
          <w:sz w:val="21"/>
        </w:rPr>
        <w:t>▼                                 ▼</w:t>
      </w:r>
    </w:p>
    <w:p>
      <w:pPr>
        <w:spacing w:after="120" w:line="276" w:lineRule="auto"/>
      </w:pPr>
      <w:r>
        <w:rPr>
          <w:sz w:val="21"/>
        </w:rPr>
        <w:t>Max Calibrated Prob &gt;= 0.85?       Max Calibrated Prob &lt; 0.60</w:t>
      </w:r>
    </w:p>
    <w:p>
      <w:pPr>
        <w:spacing w:after="120" w:line="276" w:lineRule="auto"/>
      </w:pPr>
      <w:r>
        <w:rPr>
          <w:sz w:val="21"/>
        </w:rPr>
        <w:t>&amp; Entropy H &lt; 0.40?               or Entropy H &gt;= 0.70?</w:t>
      </w:r>
    </w:p>
    <w:p>
      <w:pPr>
        <w:spacing w:after="120" w:line="276" w:lineRule="auto"/>
      </w:pPr>
      <w:r>
        <w:rPr>
          <w:sz w:val="21"/>
        </w:rPr>
        <w:t>│                                 │</w:t>
      </w:r>
    </w:p>
    <w:p>
      <w:pPr>
        <w:spacing w:after="120" w:line="276" w:lineRule="auto"/>
      </w:pPr>
      <w:r>
        <w:rPr>
          <w:sz w:val="21"/>
        </w:rPr>
        <w:t>┌──────────┴──────────┐                      ▼</w:t>
      </w:r>
    </w:p>
    <w:p>
      <w:pPr>
        <w:spacing w:after="120" w:line="276" w:lineRule="auto"/>
      </w:pPr>
      <w:r>
        <w:rPr>
          <w:sz w:val="21"/>
        </w:rPr>
        <w:t>YES                     NO            [ Tier 3: Uncertainty / Active Learning ]</w:t>
      </w:r>
    </w:p>
    <w:p>
      <w:pPr>
        <w:spacing w:after="120" w:line="276" w:lineRule="auto"/>
      </w:pPr>
      <w:r>
        <w:rPr>
          <w:sz w:val="21"/>
        </w:rPr>
        <w:t>│                       │             - Flagged for Expert Adjudication</w:t>
      </w:r>
    </w:p>
    <w:p>
      <w:pPr>
        <w:spacing w:after="120" w:line="276" w:lineRule="auto"/>
      </w:pPr>
      <w:r>
        <w:rPr>
          <w:sz w:val="21"/>
        </w:rPr>
        <w:t>▼                       ▼             - Appended to Retraining Pool</w:t>
      </w:r>
    </w:p>
    <w:p>
      <w:pPr>
        <w:spacing w:after="120" w:line="276" w:lineRule="auto"/>
      </w:pPr>
      <w:r>
        <w:rPr>
          <w:sz w:val="21"/>
        </w:rPr>
        <w:t>[ Tier 1: Autonomous ]   [ Tier 2: Analyst Review ]</w:t>
      </w:r>
    </w:p>
    <w:p>
      <w:pPr>
        <w:spacing w:after="120" w:line="276" w:lineRule="auto"/>
      </w:pPr>
      <w:r>
        <w:rPr>
          <w:sz w:val="21"/>
        </w:rPr>
        <w:t>- Selective Acc: 97.2%   - Routed to Command Center</w:t>
      </w:r>
    </w:p>
    <w:p>
      <w:pPr>
        <w:spacing w:after="120" w:line="276" w:lineRule="auto"/>
      </w:pPr>
      <w:r>
        <w:rPr>
          <w:sz w:val="21"/>
        </w:rPr>
        <w:t>- Auto-Classified        - 7-Layer Dossier Inspection</w:t>
      </w:r>
    </w:p>
    <w:p>
      <w:pPr>
        <w:spacing w:after="120" w:line="276" w:lineRule="auto"/>
      </w:pPr>
      <w:r>
        <w:rPr>
          <w:sz w:val="21"/>
        </w:rPr>
        <w:t>- Low Risk Overhead      - Mandatory Human Decision</w:t>
      </w:r>
    </w:p>
    <w:p>
      <w:pPr>
        <w:pStyle w:val="Heading2"/>
        <w:spacing w:before="240" w:after="120"/>
      </w:pPr>
      <w:r>
        <w:t>18.1 Validated Tri-Tier Performance on 2026 Test Set ($N=176$)</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Mar>
              <w:top w:w="120" w:type="dxa"/>
              <w:bottom w:w="120" w:type="dxa"/>
              <w:left w:w="140" w:type="dxa"/>
              <w:right w:w="140" w:type="dxa"/>
            </w:tcMar>
          </w:tcPr>
          <w:p>
            <w:pPr>
              <w:jc w:val="left"/>
            </w:pPr>
            <w:r>
              <w:rPr>
                <w:rFonts w:ascii="Calibri" w:hAnsi="Calibri"/>
                <w:b/>
                <w:color w:val="FFFFFF"/>
                <w:sz w:val="19"/>
              </w:rPr>
              <w:t>Decision Tier</w:t>
            </w:r>
          </w:p>
        </w:tc>
        <w:tc>
          <w:tcPr>
            <w:tcW w:type="dxa" w:w="1872"/>
            <w:shd w:fill="003366"/>
            <w:tcMar>
              <w:top w:w="120" w:type="dxa"/>
              <w:bottom w:w="120" w:type="dxa"/>
              <w:left w:w="140" w:type="dxa"/>
              <w:right w:w="140" w:type="dxa"/>
            </w:tcMar>
          </w:tcPr>
          <w:p>
            <w:pPr>
              <w:jc w:val="left"/>
            </w:pPr>
            <w:r>
              <w:rPr>
                <w:rFonts w:ascii="Calibri" w:hAnsi="Calibri"/>
                <w:b/>
                <w:color w:val="FFFFFF"/>
                <w:sz w:val="19"/>
              </w:rPr>
              <w:t>Event Allocation ($N$)</w:t>
            </w:r>
          </w:p>
        </w:tc>
        <w:tc>
          <w:tcPr>
            <w:tcW w:type="dxa" w:w="1872"/>
            <w:shd w:fill="003366"/>
            <w:tcMar>
              <w:top w:w="120" w:type="dxa"/>
              <w:bottom w:w="120" w:type="dxa"/>
              <w:left w:w="140" w:type="dxa"/>
              <w:right w:w="140" w:type="dxa"/>
            </w:tcMar>
          </w:tcPr>
          <w:p>
            <w:pPr>
              <w:jc w:val="left"/>
            </w:pPr>
            <w:r>
              <w:rPr>
                <w:rFonts w:ascii="Calibri" w:hAnsi="Calibri"/>
                <w:b/>
                <w:color w:val="FFFFFF"/>
                <w:sz w:val="19"/>
              </w:rPr>
              <w:t>Fraction of Stream</w:t>
            </w:r>
          </w:p>
        </w:tc>
        <w:tc>
          <w:tcPr>
            <w:tcW w:type="dxa" w:w="1872"/>
            <w:shd w:fill="003366"/>
            <w:tcMar>
              <w:top w:w="120" w:type="dxa"/>
              <w:bottom w:w="120" w:type="dxa"/>
              <w:left w:w="140" w:type="dxa"/>
              <w:right w:w="140" w:type="dxa"/>
            </w:tcMar>
          </w:tcPr>
          <w:p>
            <w:pPr>
              <w:jc w:val="left"/>
            </w:pPr>
            <w:r>
              <w:rPr>
                <w:rFonts w:ascii="Calibri" w:hAnsi="Calibri"/>
                <w:b/>
                <w:color w:val="FFFFFF"/>
                <w:sz w:val="19"/>
              </w:rPr>
              <w:t>Selective Accuracy</w:t>
            </w:r>
          </w:p>
        </w:tc>
        <w:tc>
          <w:tcPr>
            <w:tcW w:type="dxa" w:w="2016"/>
            <w:shd w:fill="003366"/>
            <w:tcMar>
              <w:top w:w="120" w:type="dxa"/>
              <w:bottom w:w="120" w:type="dxa"/>
              <w:left w:w="140" w:type="dxa"/>
              <w:right w:w="140" w:type="dxa"/>
            </w:tcMar>
          </w:tcPr>
          <w:p>
            <w:pPr>
              <w:jc w:val="left"/>
            </w:pPr>
            <w:r>
              <w:rPr>
                <w:rFonts w:ascii="Calibri" w:hAnsi="Calibri"/>
                <w:b/>
                <w:color w:val="FFFFFF"/>
                <w:sz w:val="19"/>
              </w:rPr>
              <w:t>Operational Action</w:t>
            </w:r>
          </w:p>
        </w:tc>
      </w:tr>
      <w:tr>
        <w:tc>
          <w:tcPr>
            <w:tcW w:type="dxa" w:w="2160"/>
            <w:shd w:fill="FFFFFF"/>
            <w:tcMar>
              <w:top w:w="100" w:type="dxa"/>
              <w:bottom w:w="100" w:type="dxa"/>
              <w:left w:w="140" w:type="dxa"/>
              <w:right w:w="140" w:type="dxa"/>
            </w:tcMar>
          </w:tcPr>
          <w:p>
            <w:pPr>
              <w:jc w:val="left"/>
            </w:pPr>
            <w:r>
              <w:rPr>
                <w:rFonts w:ascii="Calibri" w:hAnsi="Calibri"/>
                <w:sz w:val="18"/>
              </w:rPr>
              <w:t>Tier 1 (High Confidence)</w:t>
            </w:r>
          </w:p>
        </w:tc>
        <w:tc>
          <w:tcPr>
            <w:tcW w:type="dxa" w:w="1872"/>
            <w:shd w:fill="FFFFFF"/>
            <w:tcMar>
              <w:top w:w="100" w:type="dxa"/>
              <w:bottom w:w="100" w:type="dxa"/>
              <w:left w:w="140" w:type="dxa"/>
              <w:right w:w="140" w:type="dxa"/>
            </w:tcMar>
          </w:tcPr>
          <w:p>
            <w:pPr>
              <w:jc w:val="left"/>
            </w:pPr>
            <w:r>
              <w:rPr>
                <w:rFonts w:ascii="Calibri" w:hAnsi="Calibri"/>
                <w:sz w:val="18"/>
              </w:rPr>
              <w:t>71</w:t>
            </w:r>
          </w:p>
        </w:tc>
        <w:tc>
          <w:tcPr>
            <w:tcW w:type="dxa" w:w="1872"/>
            <w:shd w:fill="FFFFFF"/>
            <w:tcMar>
              <w:top w:w="100" w:type="dxa"/>
              <w:bottom w:w="100" w:type="dxa"/>
              <w:left w:w="140" w:type="dxa"/>
              <w:right w:w="140" w:type="dxa"/>
            </w:tcMar>
          </w:tcPr>
          <w:p>
            <w:pPr>
              <w:jc w:val="left"/>
            </w:pPr>
            <w:r>
              <w:rPr>
                <w:rFonts w:ascii="Calibri" w:hAnsi="Calibri"/>
                <w:sz w:val="18"/>
              </w:rPr>
              <w:t>40.3%</w:t>
            </w:r>
          </w:p>
        </w:tc>
        <w:tc>
          <w:tcPr>
            <w:tcW w:type="dxa" w:w="1872"/>
            <w:shd w:fill="FFFFFF"/>
            <w:tcMar>
              <w:top w:w="100" w:type="dxa"/>
              <w:bottom w:w="100" w:type="dxa"/>
              <w:left w:w="140" w:type="dxa"/>
              <w:right w:w="140" w:type="dxa"/>
            </w:tcMar>
          </w:tcPr>
          <w:p>
            <w:pPr>
              <w:jc w:val="left"/>
            </w:pPr>
            <w:r>
              <w:rPr>
                <w:rFonts w:ascii="Calibri" w:hAnsi="Calibri"/>
                <w:sz w:val="18"/>
              </w:rPr>
              <w:t>97.18%</w:t>
            </w:r>
          </w:p>
        </w:tc>
        <w:tc>
          <w:tcPr>
            <w:tcW w:type="dxa" w:w="2016"/>
            <w:shd w:fill="FFFFFF"/>
            <w:tcMar>
              <w:top w:w="100" w:type="dxa"/>
              <w:bottom w:w="100" w:type="dxa"/>
              <w:left w:w="140" w:type="dxa"/>
              <w:right w:w="140" w:type="dxa"/>
            </w:tcMar>
          </w:tcPr>
          <w:p>
            <w:pPr>
              <w:jc w:val="left"/>
            </w:pPr>
            <w:r>
              <w:rPr>
                <w:rFonts w:ascii="Calibri" w:hAnsi="Calibri"/>
                <w:sz w:val="18"/>
              </w:rPr>
              <w:t>Autonomous classification; immediate risk scoring</w:t>
            </w:r>
          </w:p>
        </w:tc>
      </w:tr>
      <w:tr>
        <w:tc>
          <w:tcPr>
            <w:tcW w:type="dxa" w:w="2160"/>
            <w:shd w:fill="F8F9FA"/>
            <w:tcMar>
              <w:top w:w="100" w:type="dxa"/>
              <w:bottom w:w="100" w:type="dxa"/>
              <w:left w:w="140" w:type="dxa"/>
              <w:right w:w="140" w:type="dxa"/>
            </w:tcMar>
          </w:tcPr>
          <w:p>
            <w:pPr>
              <w:jc w:val="left"/>
            </w:pPr>
            <w:r>
              <w:rPr>
                <w:rFonts w:ascii="Calibri" w:hAnsi="Calibri"/>
                <w:sz w:val="18"/>
              </w:rPr>
              <w:t>Tier 2 (Analyst Review Queue)</w:t>
            </w:r>
          </w:p>
        </w:tc>
        <w:tc>
          <w:tcPr>
            <w:tcW w:type="dxa" w:w="1872"/>
            <w:shd w:fill="F8F9FA"/>
            <w:tcMar>
              <w:top w:w="100" w:type="dxa"/>
              <w:bottom w:w="100" w:type="dxa"/>
              <w:left w:w="140" w:type="dxa"/>
              <w:right w:w="140" w:type="dxa"/>
            </w:tcMar>
          </w:tcPr>
          <w:p>
            <w:pPr>
              <w:jc w:val="left"/>
            </w:pPr>
            <w:r>
              <w:rPr>
                <w:rFonts w:ascii="Calibri" w:hAnsi="Calibri"/>
                <w:sz w:val="18"/>
              </w:rPr>
              <w:t>100</w:t>
            </w:r>
          </w:p>
        </w:tc>
        <w:tc>
          <w:tcPr>
            <w:tcW w:type="dxa" w:w="1872"/>
            <w:shd w:fill="F8F9FA"/>
            <w:tcMar>
              <w:top w:w="100" w:type="dxa"/>
              <w:bottom w:w="100" w:type="dxa"/>
              <w:left w:w="140" w:type="dxa"/>
              <w:right w:w="140" w:type="dxa"/>
            </w:tcMar>
          </w:tcPr>
          <w:p>
            <w:pPr>
              <w:jc w:val="left"/>
            </w:pPr>
            <w:r>
              <w:rPr>
                <w:rFonts w:ascii="Calibri" w:hAnsi="Calibri"/>
                <w:sz w:val="18"/>
              </w:rPr>
              <w:t>56.8%</w:t>
            </w:r>
          </w:p>
        </w:tc>
        <w:tc>
          <w:tcPr>
            <w:tcW w:type="dxa" w:w="1872"/>
            <w:shd w:fill="F8F9FA"/>
            <w:tcMar>
              <w:top w:w="100" w:type="dxa"/>
              <w:bottom w:w="100" w:type="dxa"/>
              <w:left w:w="140" w:type="dxa"/>
              <w:right w:w="140" w:type="dxa"/>
            </w:tcMar>
          </w:tcPr>
          <w:p>
            <w:pPr>
              <w:jc w:val="left"/>
            </w:pPr>
            <w:r>
              <w:rPr>
                <w:rFonts w:ascii="Calibri" w:hAnsi="Calibri"/>
                <w:sz w:val="18"/>
              </w:rPr>
              <w:t>50.00%</w:t>
            </w:r>
          </w:p>
        </w:tc>
        <w:tc>
          <w:tcPr>
            <w:tcW w:type="dxa" w:w="2016"/>
            <w:shd w:fill="F8F9FA"/>
            <w:tcMar>
              <w:top w:w="100" w:type="dxa"/>
              <w:bottom w:w="100" w:type="dxa"/>
              <w:left w:w="140" w:type="dxa"/>
              <w:right w:w="140" w:type="dxa"/>
            </w:tcMar>
          </w:tcPr>
          <w:p>
            <w:pPr>
              <w:jc w:val="left"/>
            </w:pPr>
            <w:r>
              <w:rPr>
                <w:rFonts w:ascii="Calibri" w:hAnsi="Calibri"/>
                <w:sz w:val="18"/>
              </w:rPr>
              <w:t>Diverted to Analyst Desk; prevents false positive dispatch</w:t>
            </w:r>
          </w:p>
        </w:tc>
      </w:tr>
      <w:tr>
        <w:tc>
          <w:tcPr>
            <w:tcW w:type="dxa" w:w="2160"/>
            <w:shd w:fill="FFFFFF"/>
            <w:tcMar>
              <w:top w:w="100" w:type="dxa"/>
              <w:bottom w:w="100" w:type="dxa"/>
              <w:left w:w="140" w:type="dxa"/>
              <w:right w:w="140" w:type="dxa"/>
            </w:tcMar>
          </w:tcPr>
          <w:p>
            <w:pPr>
              <w:jc w:val="left"/>
            </w:pPr>
            <w:r>
              <w:rPr>
                <w:rFonts w:ascii="Calibri" w:hAnsi="Calibri"/>
                <w:sz w:val="18"/>
              </w:rPr>
              <w:t>Tier 3 (Active Learning Queue)</w:t>
            </w:r>
          </w:p>
        </w:tc>
        <w:tc>
          <w:tcPr>
            <w:tcW w:type="dxa" w:w="1872"/>
            <w:shd w:fill="FFFFFF"/>
            <w:tcMar>
              <w:top w:w="100" w:type="dxa"/>
              <w:bottom w:w="100" w:type="dxa"/>
              <w:left w:w="140" w:type="dxa"/>
              <w:right w:w="140" w:type="dxa"/>
            </w:tcMar>
          </w:tcPr>
          <w:p>
            <w:pPr>
              <w:jc w:val="left"/>
            </w:pPr>
            <w:r>
              <w:rPr>
                <w:rFonts w:ascii="Calibri" w:hAnsi="Calibri"/>
                <w:sz w:val="18"/>
              </w:rPr>
              <w:t>5</w:t>
            </w:r>
          </w:p>
        </w:tc>
        <w:tc>
          <w:tcPr>
            <w:tcW w:type="dxa" w:w="1872"/>
            <w:shd w:fill="FFFFFF"/>
            <w:tcMar>
              <w:top w:w="100" w:type="dxa"/>
              <w:bottom w:w="100" w:type="dxa"/>
              <w:left w:w="140" w:type="dxa"/>
              <w:right w:w="140" w:type="dxa"/>
            </w:tcMar>
          </w:tcPr>
          <w:p>
            <w:pPr>
              <w:jc w:val="left"/>
            </w:pPr>
            <w:r>
              <w:rPr>
                <w:rFonts w:ascii="Calibri" w:hAnsi="Calibri"/>
                <w:sz w:val="18"/>
              </w:rPr>
              <w:t>2.9%</w:t>
            </w:r>
          </w:p>
        </w:tc>
        <w:tc>
          <w:tcPr>
            <w:tcW w:type="dxa" w:w="1872"/>
            <w:shd w:fill="FFFFFF"/>
            <w:tcMar>
              <w:top w:w="100" w:type="dxa"/>
              <w:bottom w:w="100" w:type="dxa"/>
              <w:left w:w="140" w:type="dxa"/>
              <w:right w:w="140" w:type="dxa"/>
            </w:tcMar>
          </w:tcPr>
          <w:p>
            <w:pPr>
              <w:jc w:val="left"/>
            </w:pPr>
            <w:r>
              <w:rPr>
                <w:rFonts w:ascii="Calibri" w:hAnsi="Calibri"/>
                <w:sz w:val="18"/>
              </w:rPr>
              <w:t>80.00%</w:t>
            </w:r>
          </w:p>
        </w:tc>
        <w:tc>
          <w:tcPr>
            <w:tcW w:type="dxa" w:w="2016"/>
            <w:shd w:fill="FFFFFF"/>
            <w:tcMar>
              <w:top w:w="100" w:type="dxa"/>
              <w:bottom w:w="100" w:type="dxa"/>
              <w:left w:w="140" w:type="dxa"/>
              <w:right w:w="140" w:type="dxa"/>
            </w:tcMar>
          </w:tcPr>
          <w:p>
            <w:pPr>
              <w:jc w:val="left"/>
            </w:pPr>
            <w:r>
              <w:rPr>
                <w:rFonts w:ascii="Calibri" w:hAnsi="Calibri"/>
                <w:sz w:val="18"/>
              </w:rPr>
              <w:t>Expert adjudication; retraining dataset export</w:t>
            </w:r>
          </w:p>
        </w:tc>
      </w:tr>
      <w:tr>
        <w:tc>
          <w:tcPr>
            <w:tcW w:type="dxa" w:w="2160"/>
            <w:shd w:fill="F8F9FA"/>
            <w:tcMar>
              <w:top w:w="100" w:type="dxa"/>
              <w:bottom w:w="100" w:type="dxa"/>
              <w:left w:w="140" w:type="dxa"/>
              <w:right w:w="140" w:type="dxa"/>
            </w:tcMar>
          </w:tcPr>
          <w:p>
            <w:pPr>
              <w:jc w:val="left"/>
            </w:pPr>
            <w:r>
              <w:rPr>
                <w:rFonts w:ascii="Calibri" w:hAnsi="Calibri"/>
                <w:sz w:val="18"/>
              </w:rPr>
              <w:t>Total System</w:t>
            </w:r>
          </w:p>
        </w:tc>
        <w:tc>
          <w:tcPr>
            <w:tcW w:type="dxa" w:w="1872"/>
            <w:shd w:fill="F8F9FA"/>
            <w:tcMar>
              <w:top w:w="100" w:type="dxa"/>
              <w:bottom w:w="100" w:type="dxa"/>
              <w:left w:w="140" w:type="dxa"/>
              <w:right w:w="140" w:type="dxa"/>
            </w:tcMar>
          </w:tcPr>
          <w:p>
            <w:pPr>
              <w:jc w:val="left"/>
            </w:pPr>
            <w:r>
              <w:rPr>
                <w:rFonts w:ascii="Calibri" w:hAnsi="Calibri"/>
                <w:sz w:val="18"/>
              </w:rPr>
              <w:t>176</w:t>
            </w:r>
          </w:p>
        </w:tc>
        <w:tc>
          <w:tcPr>
            <w:tcW w:type="dxa" w:w="1872"/>
            <w:shd w:fill="F8F9FA"/>
            <w:tcMar>
              <w:top w:w="100" w:type="dxa"/>
              <w:bottom w:w="100" w:type="dxa"/>
              <w:left w:w="140" w:type="dxa"/>
              <w:right w:w="140" w:type="dxa"/>
            </w:tcMar>
          </w:tcPr>
          <w:p>
            <w:pPr>
              <w:jc w:val="left"/>
            </w:pPr>
            <w:r>
              <w:rPr>
                <w:rFonts w:ascii="Calibri" w:hAnsi="Calibri"/>
                <w:sz w:val="18"/>
              </w:rPr>
              <w:t>100.0%</w:t>
            </w:r>
          </w:p>
        </w:tc>
        <w:tc>
          <w:tcPr>
            <w:tcW w:type="dxa" w:w="1872"/>
            <w:shd w:fill="F8F9FA"/>
            <w:tcMar>
              <w:top w:w="100" w:type="dxa"/>
              <w:bottom w:w="100" w:type="dxa"/>
              <w:left w:w="140" w:type="dxa"/>
              <w:right w:w="140" w:type="dxa"/>
            </w:tcMar>
          </w:tcPr>
          <w:p>
            <w:pPr>
              <w:jc w:val="left"/>
            </w:pPr>
            <w:r>
              <w:rPr>
                <w:rFonts w:ascii="Calibri" w:hAnsi="Calibri"/>
                <w:sz w:val="18"/>
              </w:rPr>
              <w:t>—</w:t>
            </w:r>
          </w:p>
        </w:tc>
        <w:tc>
          <w:tcPr>
            <w:tcW w:type="dxa" w:w="2016"/>
            <w:shd w:fill="F8F9FA"/>
            <w:tcMar>
              <w:top w:w="100" w:type="dxa"/>
              <w:bottom w:w="100" w:type="dxa"/>
              <w:left w:w="140" w:type="dxa"/>
              <w:right w:w="140" w:type="dxa"/>
            </w:tcMar>
          </w:tcPr>
          <w:p>
            <w:pPr>
              <w:jc w:val="left"/>
            </w:pPr>
            <w:r>
              <w:rPr>
                <w:rFonts w:ascii="Calibri" w:hAnsi="Calibri"/>
                <w:sz w:val="18"/>
              </w:rPr>
              <w:t>Human-in-the-Loop Safety Invariant Maintained</w:t>
            </w:r>
          </w:p>
        </w:tc>
      </w:tr>
    </w:tbl>
    <w:p>
      <w:pPr>
        <w:spacing w:after="160"/>
      </w:pPr>
    </w:p>
    <w:p>
      <w:pPr>
        <w:pStyle w:val="Heading1"/>
        <w:spacing w:before="360" w:after="160"/>
      </w:pPr>
      <w:r>
        <w:t>19. Alert and Investigation Workflow</w:t>
      </w:r>
    </w:p>
    <w:p>
      <w:pPr>
        <w:spacing w:after="120" w:line="276" w:lineRule="auto"/>
      </w:pPr>
      <w:r>
        <w:rPr>
          <w:sz w:val="21"/>
        </w:rPr>
        <w:t>The alert lifecycle is governed by an explicit finite-state machine:</w:t>
      </w:r>
    </w:p>
    <w:p>
      <w:pPr>
        <w:spacing w:after="120" w:line="276" w:lineRule="auto"/>
      </w:pPr>
      <w:r>
        <w:rPr>
          <w:sz w:val="21"/>
        </w:rPr>
        <w:t>stateDiagram-v2</w:t>
      </w:r>
    </w:p>
    <w:p>
      <w:pPr>
        <w:spacing w:after="120" w:line="276" w:lineRule="auto"/>
      </w:pPr>
      <w:r>
        <w:rPr>
          <w:sz w:val="21"/>
        </w:rPr>
        <w:t>[*] --&gt; NEW: Event Ingested (Risk &gt;= 35)</w:t>
      </w:r>
    </w:p>
    <w:p>
      <w:pPr>
        <w:spacing w:after="120" w:line="276" w:lineRule="auto"/>
      </w:pPr>
      <w:r>
        <w:rPr>
          <w:sz w:val="21"/>
        </w:rPr>
        <w:t>NEW --&gt; ACKNOWLEDGED: Analyst Claims Alert</w:t>
      </w:r>
    </w:p>
    <w:p>
      <w:pPr>
        <w:spacing w:after="120" w:line="276" w:lineRule="auto"/>
      </w:pPr>
      <w:r>
        <w:rPr>
          <w:sz w:val="21"/>
        </w:rPr>
        <w:t>NEW --&gt; DISMISSED: Analyst Rejects (False Alarm)</w:t>
      </w:r>
    </w:p>
    <w:p>
      <w:pPr>
        <w:spacing w:after="120" w:line="276" w:lineRule="auto"/>
      </w:pPr>
      <w:r>
        <w:rPr>
          <w:sz w:val="21"/>
        </w:rPr>
        <w:t>ACKNOWLEDGED --&gt; UNDER_INVESTIGATION: Analyst Opens 7-Layer Dossier</w:t>
      </w:r>
    </w:p>
    <w:p>
      <w:pPr>
        <w:spacing w:after="120" w:line="276" w:lineRule="auto"/>
      </w:pPr>
      <w:r>
        <w:rPr>
          <w:sz w:val="21"/>
        </w:rPr>
        <w:t>UNDER_INVESTIGATION --&gt; VERIFIED: Field / Sensor Data Confirmed</w:t>
      </w:r>
    </w:p>
    <w:p>
      <w:pPr>
        <w:spacing w:after="120" w:line="276" w:lineRule="auto"/>
      </w:pPr>
      <w:r>
        <w:rPr>
          <w:sz w:val="21"/>
        </w:rPr>
        <w:t>UNDER_INVESTIGATION --&gt; DISMISSED: Ground Truth Invalidated</w:t>
      </w:r>
    </w:p>
    <w:p>
      <w:pPr>
        <w:spacing w:after="120" w:line="276" w:lineRule="auto"/>
      </w:pPr>
      <w:r>
        <w:rPr>
          <w:sz w:val="21"/>
        </w:rPr>
        <w:t>VERIFIED --&gt; RESOLVED: Operational Mitigation Completed</w:t>
      </w:r>
    </w:p>
    <w:p>
      <w:pPr>
        <w:spacing w:after="120" w:line="276" w:lineRule="auto"/>
      </w:pPr>
      <w:r>
        <w:rPr>
          <w:sz w:val="21"/>
        </w:rPr>
        <w:t>DISMISSED --&gt; CLOSED: Archived with Mandatory Reason Code</w:t>
      </w:r>
    </w:p>
    <w:p>
      <w:pPr>
        <w:spacing w:after="120" w:line="276" w:lineRule="auto"/>
      </w:pPr>
      <w:r>
        <w:rPr>
          <w:sz w:val="21"/>
        </w:rPr>
        <w:t>RESOLVED --&gt; CLOSED: Investigation Closed &amp; Audited</w:t>
      </w:r>
    </w:p>
    <w:p>
      <w:pPr>
        <w:spacing w:after="120" w:line="276" w:lineRule="auto"/>
      </w:pPr>
      <w:r>
        <w:rPr>
          <w:sz w:val="21"/>
        </w:rPr>
        <w:t>CLOSED --&gt; [*]</w:t>
      </w:r>
    </w:p>
    <w:p>
      <w:pPr>
        <w:spacing w:after="120" w:line="276" w:lineRule="auto"/>
      </w:pPr>
      <w:r>
        <w:rPr>
          <w:sz w:val="21"/>
        </w:rPr>
        <w:t>Every state transition records:</w:t>
      </w:r>
    </w:p>
    <w:p>
      <w:pPr>
        <w:spacing w:after="120" w:line="276" w:lineRule="auto"/>
      </w:pPr>
      <w:r>
        <w:rPr>
          <w:sz w:val="21"/>
        </w:rPr>
        <w:t>* Timestamp (UTC)</w:t>
      </w:r>
    </w:p>
    <w:p>
      <w:pPr>
        <w:spacing w:after="120" w:line="276" w:lineRule="auto"/>
      </w:pPr>
      <w:r>
        <w:rPr>
          <w:sz w:val="21"/>
        </w:rPr>
        <w:t>* Operator ID</w:t>
      </w:r>
    </w:p>
    <w:p>
      <w:pPr>
        <w:spacing w:after="120" w:line="276" w:lineRule="auto"/>
      </w:pPr>
      <w:r>
        <w:rPr>
          <w:sz w:val="21"/>
        </w:rPr>
        <w:t>* Pre- and Post-transition states</w:t>
      </w:r>
    </w:p>
    <w:p>
      <w:pPr>
        <w:spacing w:after="120" w:line="276" w:lineRule="auto"/>
      </w:pPr>
      <w:r>
        <w:rPr>
          <w:sz w:val="21"/>
        </w:rPr>
        <w:t>* Structured justification notes and evidence snapshots into alert_audit_logs.</w:t>
      </w:r>
    </w:p>
    <w:p>
      <w:pPr>
        <w:pStyle w:val="Heading1"/>
        <w:spacing w:before="360" w:after="160"/>
      </w:pPr>
      <w:r>
        <w:t>20. Live Ingestion and Incremental Processing</w:t>
      </w:r>
    </w:p>
    <w:p>
      <w:pPr>
        <w:spacing w:after="120" w:line="276" w:lineRule="auto"/>
      </w:pPr>
      <w:r>
        <w:rPr>
          <w:sz w:val="21"/>
        </w:rPr>
        <w:t>The live ingestion subsystem operates on a supervised 15-minute polling cycle:</w:t>
      </w:r>
    </w:p>
    <w:p>
      <w:pPr>
        <w:spacing w:after="120" w:line="276" w:lineRule="auto"/>
      </w:pPr>
      <w:r>
        <w:rPr>
          <w:sz w:val="21"/>
        </w:rPr>
        <w:t>NASA FIRMS REST API</w:t>
      </w:r>
    </w:p>
    <w:p>
      <w:pPr>
        <w:spacing w:after="120" w:line="276" w:lineRule="auto"/>
      </w:pPr>
      <w:r>
        <w:rPr>
          <w:sz w:val="21"/>
        </w:rPr>
        <w:t>│ (GeoJSON Polling: India BBox [68.0, 6.0, 98.0, 38.0])</w:t>
      </w:r>
    </w:p>
    <w:p>
      <w:pPr>
        <w:spacing w:after="120" w:line="276" w:lineRule="auto"/>
      </w:pPr>
      <w:r>
        <w:rPr>
          <w:sz w:val="21"/>
        </w:rPr>
        <w:t>▼</w:t>
      </w:r>
    </w:p>
    <w:p>
      <w:pPr>
        <w:spacing w:after="120" w:line="276" w:lineRule="auto"/>
      </w:pPr>
      <w:r>
        <w:rPr>
          <w:sz w:val="21"/>
        </w:rPr>
        <w:t>Worker Ingestion Pipeline</w:t>
      </w:r>
    </w:p>
    <w:p>
      <w:pPr>
        <w:spacing w:after="120" w:line="276" w:lineRule="auto"/>
      </w:pPr>
      <w:r>
        <w:rPr>
          <w:sz w:val="21"/>
        </w:rPr>
        <w:t>[1] Coordinate &amp; FRP Boundary Validation</w:t>
      </w:r>
    </w:p>
    <w:p>
      <w:pPr>
        <w:spacing w:after="120" w:line="276" w:lineRule="auto"/>
      </w:pPr>
      <w:r>
        <w:rPr>
          <w:sz w:val="21"/>
        </w:rPr>
        <w:t>[2] Deduplication via (latitude, longitude, acq_timestamp, satellite) Unique Key</w:t>
      </w:r>
    </w:p>
    <w:p>
      <w:pPr>
        <w:spacing w:after="120" w:line="276" w:lineRule="auto"/>
      </w:pPr>
      <w:r>
        <w:rPr>
          <w:sz w:val="21"/>
        </w:rPr>
        <w:t>[3] PostGIS Bulk Insert into thermal_detections</w:t>
      </w:r>
    </w:p>
    <w:p>
      <w:pPr>
        <w:spacing w:after="120" w:line="276" w:lineRule="auto"/>
      </w:pPr>
      <w:r>
        <w:rPr>
          <w:sz w:val="21"/>
        </w:rPr>
        <w:t>[4] Incremental DBSCAN Spatiotemporal Assignment</w:t>
      </w:r>
    </w:p>
    <w:p>
      <w:pPr>
        <w:spacing w:after="120" w:line="276" w:lineRule="auto"/>
      </w:pPr>
      <w:r>
        <w:rPr>
          <w:sz w:val="21"/>
        </w:rPr>
        <w:t>[5] Point-in-Time Feature Vector Computation</w:t>
      </w:r>
    </w:p>
    <w:p>
      <w:pPr>
        <w:spacing w:after="120" w:line="276" w:lineRule="auto"/>
      </w:pPr>
      <w:r>
        <w:rPr>
          <w:sz w:val="21"/>
        </w:rPr>
        <w:t>[6] XGBoost Inference + Balanced Platt Calibration</w:t>
      </w:r>
    </w:p>
    <w:p>
      <w:pPr>
        <w:spacing w:after="120" w:line="276" w:lineRule="auto"/>
      </w:pPr>
      <w:r>
        <w:rPr>
          <w:sz w:val="21"/>
        </w:rPr>
        <w:t>[7] TreeExplainer SHAP Local Attribution</w:t>
      </w:r>
    </w:p>
    <w:p>
      <w:pPr>
        <w:spacing w:after="120" w:line="276" w:lineRule="auto"/>
      </w:pPr>
      <w:r>
        <w:rPr>
          <w:sz w:val="21"/>
        </w:rPr>
        <w:t>[8] Multi-Factor Fire Risk Score Computation</w:t>
      </w:r>
    </w:p>
    <w:p>
      <w:pPr>
        <w:spacing w:after="120" w:line="276" w:lineRule="auto"/>
      </w:pPr>
      <w:r>
        <w:rPr>
          <w:sz w:val="21"/>
        </w:rPr>
        <w:t>[9] Tri-Tier Routing &amp; Alert Queue Population</w:t>
      </w:r>
    </w:p>
    <w:p>
      <w:pPr>
        <w:pStyle w:val="Heading2"/>
        <w:spacing w:before="240" w:after="120"/>
      </w:pPr>
      <w:r>
        <w:t>Measured Pipeline Latencies (Phase 14 &amp; 16 Verifications)</w:t>
      </w:r>
    </w:p>
    <w:p>
      <w:pPr>
        <w:spacing w:after="120" w:line="276" w:lineRule="auto"/>
      </w:pPr>
      <w:r>
        <w:rPr>
          <w:sz w:val="21"/>
        </w:rPr>
        <w:t>* Ingestion &amp; Validation: 1,240 ms (per 500 detections)</w:t>
      </w:r>
    </w:p>
    <w:p>
      <w:pPr>
        <w:spacing w:after="120" w:line="276" w:lineRule="auto"/>
      </w:pPr>
      <w:r>
        <w:rPr>
          <w:sz w:val="21"/>
        </w:rPr>
        <w:t>* DBSCAN Clustering &amp; Association: 450 ms</w:t>
      </w:r>
    </w:p>
    <w:p>
      <w:pPr>
        <w:spacing w:after="120" w:line="276" w:lineRule="auto"/>
      </w:pPr>
      <w:r>
        <w:rPr>
          <w:sz w:val="21"/>
        </w:rPr>
        <w:t>* 26-Feature Generation (PostGIS Proximity): 850 ms</w:t>
      </w:r>
    </w:p>
    <w:p>
      <w:pPr>
        <w:spacing w:after="120" w:line="276" w:lineRule="auto"/>
      </w:pPr>
      <w:r>
        <w:rPr>
          <w:sz w:val="21"/>
        </w:rPr>
        <w:t>* ML Inference + Calibration + SHAP: 180 ms</w:t>
      </w:r>
    </w:p>
    <w:p>
      <w:pPr>
        <w:spacing w:after="120" w:line="276" w:lineRule="auto"/>
      </w:pPr>
      <w:r>
        <w:rPr>
          <w:sz w:val="21"/>
        </w:rPr>
        <w:t>* Risk Scoring &amp; Alert Creation: 95 ms</w:t>
      </w:r>
    </w:p>
    <w:p>
      <w:pPr>
        <w:spacing w:after="120" w:line="276" w:lineRule="auto"/>
      </w:pPr>
      <w:r>
        <w:rPr>
          <w:sz w:val="21"/>
        </w:rPr>
        <w:t>* Total End-to-End Latency: &lt; 2.85 seconds per batch (SLA target: &lt; 30.0\text{s}).</w:t>
      </w:r>
    </w:p>
    <w:p>
      <w:pPr>
        <w:pStyle w:val="Heading1"/>
        <w:spacing w:before="360" w:after="160"/>
      </w:pPr>
      <w:r>
        <w:t>21. National Operational Command Center</w:t>
      </w:r>
    </w:p>
    <w:p>
      <w:pPr>
        <w:spacing w:after="120" w:line="276" w:lineRule="auto"/>
      </w:pPr>
      <w:r>
        <w:rPr>
          <w:sz w:val="21"/>
        </w:rPr>
        <w:t>The AGNI-NETRA National Command Center is an enterprise web application engineered using Next.js 15 (React 19), MapLibre GL JS 4.7, and Tailwind CSS.</w:t>
      </w:r>
    </w:p>
    <w:p>
      <w:pPr>
        <w:pStyle w:val="Heading2"/>
        <w:spacing w:before="240" w:after="120"/>
      </w:pPr>
      <w:r>
        <w:t>21.1 Core Command Center Modules</w:t>
      </w:r>
    </w:p>
    <w:p>
      <w:pPr>
        <w:spacing w:after="120" w:line="276" w:lineRule="auto"/>
      </w:pPr>
      <w:r>
        <w:rPr>
          <w:sz w:val="21"/>
        </w:rPr>
        <w:t>1. Tactical Multi-Layer Vector Map: Full-screen WebGL map rendering 8 PostGIS vector layers with smooth zooming, clustering, and custom risk-coded shaders.</w:t>
      </w:r>
    </w:p>
    <w:p>
      <w:pPr>
        <w:spacing w:after="120" w:line="276" w:lineRule="auto"/>
      </w:pPr>
      <w:r>
        <w:rPr>
          <w:sz w:val="21"/>
        </w:rPr>
        <w:t>2. Dynamic Viewport Querying: As the operator pans or zooms, the client calculates viewport bounds (bbox = min_lon, min_lat, max_lon, max_lat) and issues debounced queries (400ms) to PostGIS spatial endpoints, preventing client memory exhaustion.</w:t>
      </w:r>
    </w:p>
    <w:p>
      <w:pPr>
        <w:spacing w:after="120" w:line="276" w:lineRule="auto"/>
      </w:pPr>
      <w:r>
        <w:rPr>
          <w:sz w:val="21"/>
        </w:rPr>
        <w:t>3. Live Telemetry KPI Dashboard: Real-time counters displaying Active Events, 24h Hotspots, Industrial Detections, High-Risk Incidents, and Monitored Facilities.</w:t>
      </w:r>
    </w:p>
    <w:p>
      <w:pPr>
        <w:spacing w:after="120" w:line="276" w:lineRule="auto"/>
      </w:pPr>
      <w:r>
        <w:rPr>
          <w:sz w:val="21"/>
        </w:rPr>
        <w:t>4. Administrative Hierarchy Drill-Down: Quick navigation from National Overview \to State (36) \to District (736).</w:t>
      </w:r>
    </w:p>
    <w:p>
      <w:pPr>
        <w:spacing w:after="120" w:line="276" w:lineRule="auto"/>
      </w:pPr>
      <w:r>
        <w:rPr>
          <w:sz w:val="21"/>
        </w:rPr>
        <w:t>5. Tactical Layer Control Panel: Independent toggle checkboxes for all 8 spatial layers with entity count badges.</w:t>
      </w:r>
    </w:p>
    <w:p>
      <w:pPr>
        <w:spacing w:after="120" w:line="276" w:lineRule="auto"/>
      </w:pPr>
      <w:r>
        <w:rPr>
          <w:sz w:val="21"/>
        </w:rPr>
        <w:t>6. Intelligence Provenance Panel: Dynamic indicator displaying verified database provenance checkmarks (✓ / NO_COVERAGE) across all integrated sources.</w:t>
      </w:r>
    </w:p>
    <w:p>
      <w:pPr>
        <w:spacing w:after="120" w:line="276" w:lineRule="auto"/>
      </w:pPr>
      <w:r>
        <w:rPr>
          <w:sz w:val="21"/>
        </w:rPr>
        <w:t>7. 7-Layer Investigation Dossier Modal: Tabbed multi-source dossier displaying complete satellite telemetry, nearest facility distances, FSI forest densities, SHAP waterfall charts, and the audit trail.</w:t>
      </w:r>
    </w:p>
    <w:p>
      <w:pPr>
        <w:pStyle w:val="Heading1"/>
        <w:spacing w:before="360" w:after="160"/>
      </w:pPr>
      <w:r>
        <w:t>22. Frontend GIS Architecture</w:t>
      </w:r>
    </w:p>
    <w:p>
      <w:pPr>
        <w:pStyle w:val="Heading2"/>
        <w:spacing w:before="240" w:after="120"/>
      </w:pPr>
      <w:r>
        <w:t>22.1 The 8 Operational GIS Layers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Mar>
              <w:top w:w="120" w:type="dxa"/>
              <w:bottom w:w="120" w:type="dxa"/>
              <w:left w:w="140" w:type="dxa"/>
              <w:right w:w="140" w:type="dxa"/>
            </w:tcMar>
          </w:tcPr>
          <w:p>
            <w:pPr>
              <w:jc w:val="left"/>
            </w:pPr>
            <w:r>
              <w:rPr>
                <w:rFonts w:ascii="Calibri" w:hAnsi="Calibri"/>
                <w:b/>
                <w:color w:val="FFFFFF"/>
                <w:sz w:val="19"/>
              </w:rPr>
              <w:t>Layer ID</w:t>
            </w:r>
          </w:p>
        </w:tc>
        <w:tc>
          <w:tcPr>
            <w:tcW w:type="dxa" w:w="1872"/>
            <w:shd w:fill="003366"/>
            <w:tcMar>
              <w:top w:w="120" w:type="dxa"/>
              <w:bottom w:w="120" w:type="dxa"/>
              <w:left w:w="140" w:type="dxa"/>
              <w:right w:w="140" w:type="dxa"/>
            </w:tcMar>
          </w:tcPr>
          <w:p>
            <w:pPr>
              <w:jc w:val="left"/>
            </w:pPr>
            <w:r>
              <w:rPr>
                <w:rFonts w:ascii="Calibri" w:hAnsi="Calibri"/>
                <w:b/>
                <w:color w:val="FFFFFF"/>
                <w:sz w:val="19"/>
              </w:rPr>
              <w:t>Layer Title</w:t>
            </w:r>
          </w:p>
        </w:tc>
        <w:tc>
          <w:tcPr>
            <w:tcW w:type="dxa" w:w="1872"/>
            <w:shd w:fill="003366"/>
            <w:tcMar>
              <w:top w:w="120" w:type="dxa"/>
              <w:bottom w:w="120" w:type="dxa"/>
              <w:left w:w="140" w:type="dxa"/>
              <w:right w:w="140" w:type="dxa"/>
            </w:tcMar>
          </w:tcPr>
          <w:p>
            <w:pPr>
              <w:jc w:val="left"/>
            </w:pPr>
            <w:r>
              <w:rPr>
                <w:rFonts w:ascii="Calibri" w:hAnsi="Calibri"/>
                <w:b/>
                <w:color w:val="FFFFFF"/>
                <w:sz w:val="19"/>
              </w:rPr>
              <w:t>Vector Geometry</w:t>
            </w:r>
          </w:p>
        </w:tc>
        <w:tc>
          <w:tcPr>
            <w:tcW w:type="dxa" w:w="1872"/>
            <w:shd w:fill="003366"/>
            <w:tcMar>
              <w:top w:w="120" w:type="dxa"/>
              <w:bottom w:w="120" w:type="dxa"/>
              <w:left w:w="140" w:type="dxa"/>
              <w:right w:w="140" w:type="dxa"/>
            </w:tcMar>
          </w:tcPr>
          <w:p>
            <w:pPr>
              <w:jc w:val="left"/>
            </w:pPr>
            <w:r>
              <w:rPr>
                <w:rFonts w:ascii="Calibri" w:hAnsi="Calibri"/>
                <w:b/>
                <w:color w:val="FFFFFF"/>
                <w:sz w:val="19"/>
              </w:rPr>
              <w:t>Styling &amp; Representation</w:t>
            </w:r>
          </w:p>
        </w:tc>
        <w:tc>
          <w:tcPr>
            <w:tcW w:type="dxa" w:w="2016"/>
            <w:shd w:fill="003366"/>
            <w:tcMar>
              <w:top w:w="120" w:type="dxa"/>
              <w:bottom w:w="120" w:type="dxa"/>
              <w:left w:w="140" w:type="dxa"/>
              <w:right w:w="140" w:type="dxa"/>
            </w:tcMar>
          </w:tcPr>
          <w:p>
            <w:pPr>
              <w:jc w:val="left"/>
            </w:pPr>
            <w:r>
              <w:rPr>
                <w:rFonts w:ascii="Calibri" w:hAnsi="Calibri"/>
                <w:b/>
                <w:color w:val="FFFFFF"/>
                <w:sz w:val="19"/>
              </w:rPr>
              <w:t>PostGIS Backend Query</w:t>
            </w:r>
          </w:p>
        </w:tc>
      </w:tr>
      <w:tr>
        <w:tc>
          <w:tcPr>
            <w:tcW w:type="dxa" w:w="2160"/>
            <w:shd w:fill="FFFFFF"/>
            <w:tcMar>
              <w:top w:w="100" w:type="dxa"/>
              <w:bottom w:w="100" w:type="dxa"/>
              <w:left w:w="140" w:type="dxa"/>
              <w:right w:w="140" w:type="dxa"/>
            </w:tcMar>
          </w:tcPr>
          <w:p>
            <w:pPr>
              <w:jc w:val="left"/>
            </w:pPr>
            <w:r>
              <w:rPr>
                <w:rFonts w:ascii="Calibri" w:hAnsi="Calibri"/>
                <w:sz w:val="18"/>
              </w:rPr>
              <w:t>thermal_events</w:t>
            </w:r>
          </w:p>
        </w:tc>
        <w:tc>
          <w:tcPr>
            <w:tcW w:type="dxa" w:w="1872"/>
            <w:shd w:fill="FFFFFF"/>
            <w:tcMar>
              <w:top w:w="100" w:type="dxa"/>
              <w:bottom w:w="100" w:type="dxa"/>
              <w:left w:w="140" w:type="dxa"/>
              <w:right w:w="140" w:type="dxa"/>
            </w:tcMar>
          </w:tcPr>
          <w:p>
            <w:pPr>
              <w:jc w:val="left"/>
            </w:pPr>
            <w:r>
              <w:rPr>
                <w:rFonts w:ascii="Calibri" w:hAnsi="Calibri"/>
                <w:sz w:val="18"/>
              </w:rPr>
              <w:t>Thermal Events &amp; Hotspots</w:t>
            </w:r>
          </w:p>
        </w:tc>
        <w:tc>
          <w:tcPr>
            <w:tcW w:type="dxa" w:w="1872"/>
            <w:shd w:fill="FFFFFF"/>
            <w:tcMar>
              <w:top w:w="100" w:type="dxa"/>
              <w:bottom w:w="100" w:type="dxa"/>
              <w:left w:w="140" w:type="dxa"/>
              <w:right w:w="140" w:type="dxa"/>
            </w:tcMar>
          </w:tcPr>
          <w:p>
            <w:pPr>
              <w:jc w:val="left"/>
            </w:pPr>
            <w:r>
              <w:rPr>
                <w:rFonts w:ascii="Calibri" w:hAnsi="Calibri"/>
                <w:sz w:val="18"/>
              </w:rPr>
              <w:t>Point / Cluster</w:t>
            </w:r>
          </w:p>
        </w:tc>
        <w:tc>
          <w:tcPr>
            <w:tcW w:type="dxa" w:w="1872"/>
            <w:shd w:fill="FFFFFF"/>
            <w:tcMar>
              <w:top w:w="100" w:type="dxa"/>
              <w:bottom w:w="100" w:type="dxa"/>
              <w:left w:w="140" w:type="dxa"/>
              <w:right w:w="140" w:type="dxa"/>
            </w:tcMar>
          </w:tcPr>
          <w:p>
            <w:pPr>
              <w:jc w:val="left"/>
            </w:pPr>
            <w:r>
              <w:rPr>
                <w:rFonts w:ascii="Calibri" w:hAnsi="Calibri"/>
                <w:sz w:val="18"/>
              </w:rPr>
              <w:t>Risk-colored circles (Red, Orange, Yellow, Green)</w:t>
            </w:r>
          </w:p>
        </w:tc>
        <w:tc>
          <w:tcPr>
            <w:tcW w:type="dxa" w:w="2016"/>
            <w:shd w:fill="FFFFFF"/>
            <w:tcMar>
              <w:top w:w="100" w:type="dxa"/>
              <w:bottom w:w="100" w:type="dxa"/>
              <w:left w:w="140" w:type="dxa"/>
              <w:right w:w="140" w:type="dxa"/>
            </w:tcMar>
          </w:tcPr>
          <w:p>
            <w:pPr>
              <w:jc w:val="left"/>
            </w:pPr>
            <w:r>
              <w:rPr>
                <w:rFonts w:ascii="Calibri" w:hAnsi="Calibri"/>
                <w:sz w:val="18"/>
              </w:rPr>
              <w:t>/api/v1/gis/thermal-events</w:t>
            </w:r>
          </w:p>
        </w:tc>
      </w:tr>
      <w:tr>
        <w:tc>
          <w:tcPr>
            <w:tcW w:type="dxa" w:w="2160"/>
            <w:shd w:fill="F8F9FA"/>
            <w:tcMar>
              <w:top w:w="100" w:type="dxa"/>
              <w:bottom w:w="100" w:type="dxa"/>
              <w:left w:w="140" w:type="dxa"/>
              <w:right w:w="140" w:type="dxa"/>
            </w:tcMar>
          </w:tcPr>
          <w:p>
            <w:pPr>
              <w:jc w:val="left"/>
            </w:pPr>
            <w:r>
              <w:rPr>
                <w:rFonts w:ascii="Calibri" w:hAnsi="Calibri"/>
                <w:sz w:val="18"/>
              </w:rPr>
              <w:t>industrial_facilities</w:t>
            </w:r>
          </w:p>
        </w:tc>
        <w:tc>
          <w:tcPr>
            <w:tcW w:type="dxa" w:w="1872"/>
            <w:shd w:fill="F8F9FA"/>
            <w:tcMar>
              <w:top w:w="100" w:type="dxa"/>
              <w:bottom w:w="100" w:type="dxa"/>
              <w:left w:w="140" w:type="dxa"/>
              <w:right w:w="140" w:type="dxa"/>
            </w:tcMar>
          </w:tcPr>
          <w:p>
            <w:pPr>
              <w:jc w:val="left"/>
            </w:pPr>
            <w:r>
              <w:rPr>
                <w:rFonts w:ascii="Calibri" w:hAnsi="Calibri"/>
                <w:sz w:val="18"/>
              </w:rPr>
              <w:t>Industrial Facilities</w:t>
            </w:r>
          </w:p>
        </w:tc>
        <w:tc>
          <w:tcPr>
            <w:tcW w:type="dxa" w:w="1872"/>
            <w:shd w:fill="F8F9FA"/>
            <w:tcMar>
              <w:top w:w="100" w:type="dxa"/>
              <w:bottom w:w="100" w:type="dxa"/>
              <w:left w:w="140" w:type="dxa"/>
              <w:right w:w="140" w:type="dxa"/>
            </w:tcMar>
          </w:tcPr>
          <w:p>
            <w:pPr>
              <w:jc w:val="left"/>
            </w:pPr>
            <w:r>
              <w:rPr>
                <w:rFonts w:ascii="Calibri" w:hAnsi="Calibri"/>
                <w:sz w:val="18"/>
              </w:rPr>
              <w:t>Point / Polygon</w:t>
            </w:r>
          </w:p>
        </w:tc>
        <w:tc>
          <w:tcPr>
            <w:tcW w:type="dxa" w:w="1872"/>
            <w:shd w:fill="F8F9FA"/>
            <w:tcMar>
              <w:top w:w="100" w:type="dxa"/>
              <w:bottom w:w="100" w:type="dxa"/>
              <w:left w:w="140" w:type="dxa"/>
              <w:right w:w="140" w:type="dxa"/>
            </w:tcMar>
          </w:tcPr>
          <w:p>
            <w:pPr>
              <w:jc w:val="left"/>
            </w:pPr>
            <w:r>
              <w:rPr>
                <w:rFonts w:ascii="Calibri" w:hAnsi="Calibri"/>
                <w:sz w:val="18"/>
              </w:rPr>
              <w:t>Cyan factory glyphs with sector metadata</w:t>
            </w:r>
          </w:p>
        </w:tc>
        <w:tc>
          <w:tcPr>
            <w:tcW w:type="dxa" w:w="2016"/>
            <w:shd w:fill="F8F9FA"/>
            <w:tcMar>
              <w:top w:w="100" w:type="dxa"/>
              <w:bottom w:w="100" w:type="dxa"/>
              <w:left w:w="140" w:type="dxa"/>
              <w:right w:w="140" w:type="dxa"/>
            </w:tcMar>
          </w:tcPr>
          <w:p>
            <w:pPr>
              <w:jc w:val="left"/>
            </w:pPr>
            <w:r>
              <w:rPr>
                <w:rFonts w:ascii="Calibri" w:hAnsi="Calibri"/>
                <w:sz w:val="18"/>
              </w:rPr>
              <w:t>/api/v1/gis/industrial-facilities?bbox=...</w:t>
            </w:r>
          </w:p>
        </w:tc>
      </w:tr>
      <w:tr>
        <w:tc>
          <w:tcPr>
            <w:tcW w:type="dxa" w:w="2160"/>
            <w:shd w:fill="FFFFFF"/>
            <w:tcMar>
              <w:top w:w="100" w:type="dxa"/>
              <w:bottom w:w="100" w:type="dxa"/>
              <w:left w:w="140" w:type="dxa"/>
              <w:right w:w="140" w:type="dxa"/>
            </w:tcMar>
          </w:tcPr>
          <w:p>
            <w:pPr>
              <w:jc w:val="left"/>
            </w:pPr>
            <w:r>
              <w:rPr>
                <w:rFonts w:ascii="Calibri" w:hAnsi="Calibri"/>
                <w:sz w:val="18"/>
              </w:rPr>
              <w:t>power_stations</w:t>
            </w:r>
          </w:p>
        </w:tc>
        <w:tc>
          <w:tcPr>
            <w:tcW w:type="dxa" w:w="1872"/>
            <w:shd w:fill="FFFFFF"/>
            <w:tcMar>
              <w:top w:w="100" w:type="dxa"/>
              <w:bottom w:w="100" w:type="dxa"/>
              <w:left w:w="140" w:type="dxa"/>
              <w:right w:w="140" w:type="dxa"/>
            </w:tcMar>
          </w:tcPr>
          <w:p>
            <w:pPr>
              <w:jc w:val="left"/>
            </w:pPr>
            <w:r>
              <w:rPr>
                <w:rFonts w:ascii="Calibri" w:hAnsi="Calibri"/>
                <w:sz w:val="18"/>
              </w:rPr>
              <w:t>CEA Power Generating Stations</w:t>
            </w:r>
          </w:p>
        </w:tc>
        <w:tc>
          <w:tcPr>
            <w:tcW w:type="dxa" w:w="1872"/>
            <w:shd w:fill="FFFFFF"/>
            <w:tcMar>
              <w:top w:w="100" w:type="dxa"/>
              <w:bottom w:w="100" w:type="dxa"/>
              <w:left w:w="140" w:type="dxa"/>
              <w:right w:w="140" w:type="dxa"/>
            </w:tcMar>
          </w:tcPr>
          <w:p>
            <w:pPr>
              <w:jc w:val="left"/>
            </w:pPr>
            <w:r>
              <w:rPr>
                <w:rFonts w:ascii="Calibri" w:hAnsi="Calibri"/>
                <w:sz w:val="18"/>
              </w:rPr>
              <w:t>Point</w:t>
            </w:r>
          </w:p>
        </w:tc>
        <w:tc>
          <w:tcPr>
            <w:tcW w:type="dxa" w:w="1872"/>
            <w:shd w:fill="FFFFFF"/>
            <w:tcMar>
              <w:top w:w="100" w:type="dxa"/>
              <w:bottom w:w="100" w:type="dxa"/>
              <w:left w:w="140" w:type="dxa"/>
              <w:right w:w="140" w:type="dxa"/>
            </w:tcMar>
          </w:tcPr>
          <w:p>
            <w:pPr>
              <w:jc w:val="left"/>
            </w:pPr>
            <w:r>
              <w:rPr>
                <w:rFonts w:ascii="Calibri" w:hAnsi="Calibri"/>
                <w:sz w:val="18"/>
              </w:rPr>
              <w:t>Amber power utility icons with MW capacity</w:t>
            </w:r>
          </w:p>
        </w:tc>
        <w:tc>
          <w:tcPr>
            <w:tcW w:type="dxa" w:w="2016"/>
            <w:shd w:fill="FFFFFF"/>
            <w:tcMar>
              <w:top w:w="100" w:type="dxa"/>
              <w:bottom w:w="100" w:type="dxa"/>
              <w:left w:w="140" w:type="dxa"/>
              <w:right w:w="140" w:type="dxa"/>
            </w:tcMar>
          </w:tcPr>
          <w:p>
            <w:pPr>
              <w:jc w:val="left"/>
            </w:pPr>
            <w:r>
              <w:rPr>
                <w:rFonts w:ascii="Calibri" w:hAnsi="Calibri"/>
                <w:sz w:val="18"/>
              </w:rPr>
              <w:t>/api/v1/gis/power-stations</w:t>
            </w:r>
          </w:p>
        </w:tc>
      </w:tr>
      <w:tr>
        <w:tc>
          <w:tcPr>
            <w:tcW w:type="dxa" w:w="2160"/>
            <w:shd w:fill="F8F9FA"/>
            <w:tcMar>
              <w:top w:w="100" w:type="dxa"/>
              <w:bottom w:w="100" w:type="dxa"/>
              <w:left w:w="140" w:type="dxa"/>
              <w:right w:w="140" w:type="dxa"/>
            </w:tcMar>
          </w:tcPr>
          <w:p>
            <w:pPr>
              <w:jc w:val="left"/>
            </w:pPr>
            <w:r>
              <w:rPr>
                <w:rFonts w:ascii="Calibri" w:hAnsi="Calibri"/>
                <w:sz w:val="18"/>
              </w:rPr>
              <w:t>mining</w:t>
            </w:r>
          </w:p>
        </w:tc>
        <w:tc>
          <w:tcPr>
            <w:tcW w:type="dxa" w:w="1872"/>
            <w:shd w:fill="F8F9FA"/>
            <w:tcMar>
              <w:top w:w="100" w:type="dxa"/>
              <w:bottom w:w="100" w:type="dxa"/>
              <w:left w:w="140" w:type="dxa"/>
              <w:right w:w="140" w:type="dxa"/>
            </w:tcMar>
          </w:tcPr>
          <w:p>
            <w:pPr>
              <w:jc w:val="left"/>
            </w:pPr>
            <w:r>
              <w:rPr>
                <w:rFonts w:ascii="Calibri" w:hAnsi="Calibri"/>
                <w:sz w:val="18"/>
              </w:rPr>
              <w:t>IBM Mining Intelligence</w:t>
            </w:r>
          </w:p>
        </w:tc>
        <w:tc>
          <w:tcPr>
            <w:tcW w:type="dxa" w:w="1872"/>
            <w:shd w:fill="F8F9FA"/>
            <w:tcMar>
              <w:top w:w="100" w:type="dxa"/>
              <w:bottom w:w="100" w:type="dxa"/>
              <w:left w:w="140" w:type="dxa"/>
              <w:right w:w="140" w:type="dxa"/>
            </w:tcMar>
          </w:tcPr>
          <w:p>
            <w:pPr>
              <w:jc w:val="left"/>
            </w:pPr>
            <w:r>
              <w:rPr>
                <w:rFonts w:ascii="Calibri" w:hAnsi="Calibri"/>
                <w:sz w:val="18"/>
              </w:rPr>
              <w:t>Point / Polygon</w:t>
            </w:r>
          </w:p>
        </w:tc>
        <w:tc>
          <w:tcPr>
            <w:tcW w:type="dxa" w:w="1872"/>
            <w:shd w:fill="F8F9FA"/>
            <w:tcMar>
              <w:top w:w="100" w:type="dxa"/>
              <w:bottom w:w="100" w:type="dxa"/>
              <w:left w:w="140" w:type="dxa"/>
              <w:right w:w="140" w:type="dxa"/>
            </w:tcMar>
          </w:tcPr>
          <w:p>
            <w:pPr>
              <w:jc w:val="left"/>
            </w:pPr>
            <w:r>
              <w:rPr>
                <w:rFonts w:ascii="Calibri" w:hAnsi="Calibri"/>
                <w:sz w:val="18"/>
              </w:rPr>
              <w:t>Purple diamond markers with mineral commodity</w:t>
            </w:r>
          </w:p>
        </w:tc>
        <w:tc>
          <w:tcPr>
            <w:tcW w:type="dxa" w:w="2016"/>
            <w:shd w:fill="F8F9FA"/>
            <w:tcMar>
              <w:top w:w="100" w:type="dxa"/>
              <w:bottom w:w="100" w:type="dxa"/>
              <w:left w:w="140" w:type="dxa"/>
              <w:right w:w="140" w:type="dxa"/>
            </w:tcMar>
          </w:tcPr>
          <w:p>
            <w:pPr>
              <w:jc w:val="left"/>
            </w:pPr>
            <w:r>
              <w:rPr>
                <w:rFonts w:ascii="Calibri" w:hAnsi="Calibri"/>
                <w:sz w:val="18"/>
              </w:rPr>
              <w:t>/api/v1/gis/mining</w:t>
            </w:r>
          </w:p>
        </w:tc>
      </w:tr>
      <w:tr>
        <w:tc>
          <w:tcPr>
            <w:tcW w:type="dxa" w:w="2160"/>
            <w:shd w:fill="FFFFFF"/>
            <w:tcMar>
              <w:top w:w="100" w:type="dxa"/>
              <w:bottom w:w="100" w:type="dxa"/>
              <w:left w:w="140" w:type="dxa"/>
              <w:right w:w="140" w:type="dxa"/>
            </w:tcMar>
          </w:tcPr>
          <w:p>
            <w:pPr>
              <w:jc w:val="left"/>
            </w:pPr>
            <w:r>
              <w:rPr>
                <w:rFonts w:ascii="Calibri" w:hAnsi="Calibri"/>
                <w:sz w:val="18"/>
              </w:rPr>
              <w:t>protected_areas</w:t>
            </w:r>
          </w:p>
        </w:tc>
        <w:tc>
          <w:tcPr>
            <w:tcW w:type="dxa" w:w="1872"/>
            <w:shd w:fill="FFFFFF"/>
            <w:tcMar>
              <w:top w:w="100" w:type="dxa"/>
              <w:bottom w:w="100" w:type="dxa"/>
              <w:left w:w="140" w:type="dxa"/>
              <w:right w:w="140" w:type="dxa"/>
            </w:tcMar>
          </w:tcPr>
          <w:p>
            <w:pPr>
              <w:jc w:val="left"/>
            </w:pPr>
            <w:r>
              <w:rPr>
                <w:rFonts w:ascii="Calibri" w:hAnsi="Calibri"/>
                <w:sz w:val="18"/>
              </w:rPr>
              <w:t>WII Protected Areas &amp; ESZ</w:t>
            </w:r>
          </w:p>
        </w:tc>
        <w:tc>
          <w:tcPr>
            <w:tcW w:type="dxa" w:w="1872"/>
            <w:shd w:fill="FFFFFF"/>
            <w:tcMar>
              <w:top w:w="100" w:type="dxa"/>
              <w:bottom w:w="100" w:type="dxa"/>
              <w:left w:w="140" w:type="dxa"/>
              <w:right w:w="140" w:type="dxa"/>
            </w:tcMar>
          </w:tcPr>
          <w:p>
            <w:pPr>
              <w:jc w:val="left"/>
            </w:pPr>
            <w:r>
              <w:rPr>
                <w:rFonts w:ascii="Calibri" w:hAnsi="Calibri"/>
                <w:sz w:val="18"/>
              </w:rPr>
              <w:t>MultiPolygon</w:t>
            </w:r>
          </w:p>
        </w:tc>
        <w:tc>
          <w:tcPr>
            <w:tcW w:type="dxa" w:w="1872"/>
            <w:shd w:fill="FFFFFF"/>
            <w:tcMar>
              <w:top w:w="100" w:type="dxa"/>
              <w:bottom w:w="100" w:type="dxa"/>
              <w:left w:w="140" w:type="dxa"/>
              <w:right w:w="140" w:type="dxa"/>
            </w:tcMar>
          </w:tcPr>
          <w:p>
            <w:pPr>
              <w:jc w:val="left"/>
            </w:pPr>
            <w:r>
              <w:rPr>
                <w:rFonts w:ascii="Calibri" w:hAnsi="Calibri"/>
                <w:sz w:val="18"/>
              </w:rPr>
              <w:t>Semi-transparent green shaded forest reserves</w:t>
            </w:r>
          </w:p>
        </w:tc>
        <w:tc>
          <w:tcPr>
            <w:tcW w:type="dxa" w:w="2016"/>
            <w:shd w:fill="FFFFFF"/>
            <w:tcMar>
              <w:top w:w="100" w:type="dxa"/>
              <w:bottom w:w="100" w:type="dxa"/>
              <w:left w:w="140" w:type="dxa"/>
              <w:right w:w="140" w:type="dxa"/>
            </w:tcMar>
          </w:tcPr>
          <w:p>
            <w:pPr>
              <w:jc w:val="left"/>
            </w:pPr>
            <w:r>
              <w:rPr>
                <w:rFonts w:ascii="Calibri" w:hAnsi="Calibri"/>
                <w:sz w:val="18"/>
              </w:rPr>
              <w:t>/api/v1/gis/protected-areas</w:t>
            </w:r>
          </w:p>
        </w:tc>
      </w:tr>
      <w:tr>
        <w:tc>
          <w:tcPr>
            <w:tcW w:type="dxa" w:w="2160"/>
            <w:shd w:fill="F8F9FA"/>
            <w:tcMar>
              <w:top w:w="100" w:type="dxa"/>
              <w:bottom w:w="100" w:type="dxa"/>
              <w:left w:w="140" w:type="dxa"/>
              <w:right w:w="140" w:type="dxa"/>
            </w:tcMar>
          </w:tcPr>
          <w:p>
            <w:pPr>
              <w:jc w:val="left"/>
            </w:pPr>
            <w:r>
              <w:rPr>
                <w:rFonts w:ascii="Calibri" w:hAnsi="Calibri"/>
                <w:sz w:val="18"/>
              </w:rPr>
              <w:t>lulc</w:t>
            </w:r>
          </w:p>
        </w:tc>
        <w:tc>
          <w:tcPr>
            <w:tcW w:type="dxa" w:w="1872"/>
            <w:shd w:fill="F8F9FA"/>
            <w:tcMar>
              <w:top w:w="100" w:type="dxa"/>
              <w:bottom w:w="100" w:type="dxa"/>
              <w:left w:w="140" w:type="dxa"/>
              <w:right w:w="140" w:type="dxa"/>
            </w:tcMar>
          </w:tcPr>
          <w:p>
            <w:pPr>
              <w:jc w:val="left"/>
            </w:pPr>
            <w:r>
              <w:rPr>
                <w:rFonts w:ascii="Calibri" w:hAnsi="Calibri"/>
                <w:sz w:val="18"/>
              </w:rPr>
              <w:t>ISRO Bhuvan Land Cover</w:t>
            </w:r>
          </w:p>
        </w:tc>
        <w:tc>
          <w:tcPr>
            <w:tcW w:type="dxa" w:w="1872"/>
            <w:shd w:fill="F8F9FA"/>
            <w:tcMar>
              <w:top w:w="100" w:type="dxa"/>
              <w:bottom w:w="100" w:type="dxa"/>
              <w:left w:w="140" w:type="dxa"/>
              <w:right w:w="140" w:type="dxa"/>
            </w:tcMar>
          </w:tcPr>
          <w:p>
            <w:pPr>
              <w:jc w:val="left"/>
            </w:pPr>
            <w:r>
              <w:rPr>
                <w:rFonts w:ascii="Calibri" w:hAnsi="Calibri"/>
                <w:sz w:val="18"/>
              </w:rPr>
              <w:t>MultiPolygon</w:t>
            </w:r>
          </w:p>
        </w:tc>
        <w:tc>
          <w:tcPr>
            <w:tcW w:type="dxa" w:w="1872"/>
            <w:shd w:fill="F8F9FA"/>
            <w:tcMar>
              <w:top w:w="100" w:type="dxa"/>
              <w:bottom w:w="100" w:type="dxa"/>
              <w:left w:w="140" w:type="dxa"/>
              <w:right w:w="140" w:type="dxa"/>
            </w:tcMar>
          </w:tcPr>
          <w:p>
            <w:pPr>
              <w:jc w:val="left"/>
            </w:pPr>
            <w:r>
              <w:rPr>
                <w:rFonts w:ascii="Calibri" w:hAnsi="Calibri"/>
                <w:sz w:val="18"/>
              </w:rPr>
              <w:t>Land use classification polygons</w:t>
            </w:r>
          </w:p>
        </w:tc>
        <w:tc>
          <w:tcPr>
            <w:tcW w:type="dxa" w:w="2016"/>
            <w:shd w:fill="F8F9FA"/>
            <w:tcMar>
              <w:top w:w="100" w:type="dxa"/>
              <w:bottom w:w="100" w:type="dxa"/>
              <w:left w:w="140" w:type="dxa"/>
              <w:right w:w="140" w:type="dxa"/>
            </w:tcMar>
          </w:tcPr>
          <w:p>
            <w:pPr>
              <w:jc w:val="left"/>
            </w:pPr>
            <w:r>
              <w:rPr>
                <w:rFonts w:ascii="Calibri" w:hAnsi="Calibri"/>
                <w:sz w:val="18"/>
              </w:rPr>
              <w:t>/api/v1/gis/lulc</w:t>
            </w:r>
          </w:p>
        </w:tc>
      </w:tr>
      <w:tr>
        <w:tc>
          <w:tcPr>
            <w:tcW w:type="dxa" w:w="2160"/>
            <w:shd w:fill="FFFFFF"/>
            <w:tcMar>
              <w:top w:w="100" w:type="dxa"/>
              <w:bottom w:w="100" w:type="dxa"/>
              <w:left w:w="140" w:type="dxa"/>
              <w:right w:w="140" w:type="dxa"/>
            </w:tcMar>
          </w:tcPr>
          <w:p>
            <w:pPr>
              <w:jc w:val="left"/>
            </w:pPr>
            <w:r>
              <w:rPr>
                <w:rFonts w:ascii="Calibri" w:hAnsi="Calibri"/>
                <w:sz w:val="18"/>
              </w:rPr>
              <w:t>admin_states</w:t>
            </w:r>
          </w:p>
        </w:tc>
        <w:tc>
          <w:tcPr>
            <w:tcW w:type="dxa" w:w="1872"/>
            <w:shd w:fill="FFFFFF"/>
            <w:tcMar>
              <w:top w:w="100" w:type="dxa"/>
              <w:bottom w:w="100" w:type="dxa"/>
              <w:left w:w="140" w:type="dxa"/>
              <w:right w:w="140" w:type="dxa"/>
            </w:tcMar>
          </w:tcPr>
          <w:p>
            <w:pPr>
              <w:jc w:val="left"/>
            </w:pPr>
            <w:r>
              <w:rPr>
                <w:rFonts w:ascii="Calibri" w:hAnsi="Calibri"/>
                <w:sz w:val="18"/>
              </w:rPr>
              <w:t>State / UT Boundaries</w:t>
            </w:r>
          </w:p>
        </w:tc>
        <w:tc>
          <w:tcPr>
            <w:tcW w:type="dxa" w:w="1872"/>
            <w:shd w:fill="FFFFFF"/>
            <w:tcMar>
              <w:top w:w="100" w:type="dxa"/>
              <w:bottom w:w="100" w:type="dxa"/>
              <w:left w:w="140" w:type="dxa"/>
              <w:right w:w="140" w:type="dxa"/>
            </w:tcMar>
          </w:tcPr>
          <w:p>
            <w:pPr>
              <w:jc w:val="left"/>
            </w:pPr>
            <w:r>
              <w:rPr>
                <w:rFonts w:ascii="Calibri" w:hAnsi="Calibri"/>
                <w:sz w:val="18"/>
              </w:rPr>
              <w:t>MultiPolygon</w:t>
            </w:r>
          </w:p>
        </w:tc>
        <w:tc>
          <w:tcPr>
            <w:tcW w:type="dxa" w:w="1872"/>
            <w:shd w:fill="FFFFFF"/>
            <w:tcMar>
              <w:top w:w="100" w:type="dxa"/>
              <w:bottom w:w="100" w:type="dxa"/>
              <w:left w:w="140" w:type="dxa"/>
              <w:right w:w="140" w:type="dxa"/>
            </w:tcMar>
          </w:tcPr>
          <w:p>
            <w:pPr>
              <w:jc w:val="left"/>
            </w:pPr>
            <w:r>
              <w:rPr>
                <w:rFonts w:ascii="Calibri" w:hAnsi="Calibri"/>
                <w:sz w:val="18"/>
              </w:rPr>
              <w:t>Bold administrative borders</w:t>
            </w:r>
          </w:p>
        </w:tc>
        <w:tc>
          <w:tcPr>
            <w:tcW w:type="dxa" w:w="2016"/>
            <w:shd w:fill="FFFFFF"/>
            <w:tcMar>
              <w:top w:w="100" w:type="dxa"/>
              <w:bottom w:w="100" w:type="dxa"/>
              <w:left w:w="140" w:type="dxa"/>
              <w:right w:w="140" w:type="dxa"/>
            </w:tcMar>
          </w:tcPr>
          <w:p>
            <w:pPr>
              <w:jc w:val="left"/>
            </w:pPr>
            <w:r>
              <w:rPr>
                <w:rFonts w:ascii="Calibri" w:hAnsi="Calibri"/>
                <w:sz w:val="18"/>
              </w:rPr>
              <w:t>/api/v1/gis/admin/states</w:t>
            </w:r>
          </w:p>
        </w:tc>
      </w:tr>
      <w:tr>
        <w:tc>
          <w:tcPr>
            <w:tcW w:type="dxa" w:w="2160"/>
            <w:shd w:fill="F8F9FA"/>
            <w:tcMar>
              <w:top w:w="100" w:type="dxa"/>
              <w:bottom w:w="100" w:type="dxa"/>
              <w:left w:w="140" w:type="dxa"/>
              <w:right w:w="140" w:type="dxa"/>
            </w:tcMar>
          </w:tcPr>
          <w:p>
            <w:pPr>
              <w:jc w:val="left"/>
            </w:pPr>
            <w:r>
              <w:rPr>
                <w:rFonts w:ascii="Calibri" w:hAnsi="Calibri"/>
                <w:sz w:val="18"/>
              </w:rPr>
              <w:t>admin_districts</w:t>
            </w:r>
          </w:p>
        </w:tc>
        <w:tc>
          <w:tcPr>
            <w:tcW w:type="dxa" w:w="1872"/>
            <w:shd w:fill="F8F9FA"/>
            <w:tcMar>
              <w:top w:w="100" w:type="dxa"/>
              <w:bottom w:w="100" w:type="dxa"/>
              <w:left w:w="140" w:type="dxa"/>
              <w:right w:w="140" w:type="dxa"/>
            </w:tcMar>
          </w:tcPr>
          <w:p>
            <w:pPr>
              <w:jc w:val="left"/>
            </w:pPr>
            <w:r>
              <w:rPr>
                <w:rFonts w:ascii="Calibri" w:hAnsi="Calibri"/>
                <w:sz w:val="18"/>
              </w:rPr>
              <w:t>District Boundaries</w:t>
            </w:r>
          </w:p>
        </w:tc>
        <w:tc>
          <w:tcPr>
            <w:tcW w:type="dxa" w:w="1872"/>
            <w:shd w:fill="F8F9FA"/>
            <w:tcMar>
              <w:top w:w="100" w:type="dxa"/>
              <w:bottom w:w="100" w:type="dxa"/>
              <w:left w:w="140" w:type="dxa"/>
              <w:right w:w="140" w:type="dxa"/>
            </w:tcMar>
          </w:tcPr>
          <w:p>
            <w:pPr>
              <w:jc w:val="left"/>
            </w:pPr>
            <w:r>
              <w:rPr>
                <w:rFonts w:ascii="Calibri" w:hAnsi="Calibri"/>
                <w:sz w:val="18"/>
              </w:rPr>
              <w:t>MultiPolygon</w:t>
            </w:r>
          </w:p>
        </w:tc>
        <w:tc>
          <w:tcPr>
            <w:tcW w:type="dxa" w:w="1872"/>
            <w:shd w:fill="F8F9FA"/>
            <w:tcMar>
              <w:top w:w="100" w:type="dxa"/>
              <w:bottom w:w="100" w:type="dxa"/>
              <w:left w:w="140" w:type="dxa"/>
              <w:right w:w="140" w:type="dxa"/>
            </w:tcMar>
          </w:tcPr>
          <w:p>
            <w:pPr>
              <w:jc w:val="left"/>
            </w:pPr>
            <w:r>
              <w:rPr>
                <w:rFonts w:ascii="Calibri" w:hAnsi="Calibri"/>
                <w:sz w:val="18"/>
              </w:rPr>
              <w:t>Sub-district boundaries</w:t>
            </w:r>
          </w:p>
        </w:tc>
        <w:tc>
          <w:tcPr>
            <w:tcW w:type="dxa" w:w="2016"/>
            <w:shd w:fill="F8F9FA"/>
            <w:tcMar>
              <w:top w:w="100" w:type="dxa"/>
              <w:bottom w:w="100" w:type="dxa"/>
              <w:left w:w="140" w:type="dxa"/>
              <w:right w:w="140" w:type="dxa"/>
            </w:tcMar>
          </w:tcPr>
          <w:p>
            <w:pPr>
              <w:jc w:val="left"/>
            </w:pPr>
            <w:r>
              <w:rPr>
                <w:rFonts w:ascii="Calibri" w:hAnsi="Calibri"/>
                <w:sz w:val="18"/>
              </w:rPr>
              <w:t>/api/v1/gis/admin/districts</w:t>
            </w:r>
          </w:p>
        </w:tc>
      </w:tr>
    </w:tbl>
    <w:p>
      <w:pPr>
        <w:spacing w:after="160"/>
      </w:pPr>
    </w:p>
    <w:p>
      <w:pPr>
        <w:pStyle w:val="Heading2"/>
        <w:spacing w:before="240" w:after="120"/>
      </w:pPr>
      <w:r>
        <w:t>22.2 Client-Side Hydration Resolution</w:t>
      </w:r>
    </w:p>
    <w:p>
      <w:pPr>
        <w:spacing w:after="120" w:line="276" w:lineRule="auto"/>
      </w:pPr>
      <w:r>
        <w:rPr>
          <w:sz w:val="21"/>
        </w:rPr>
        <w:t>During initial deployment, Next.js 15 Server-Side Rendering (SSR) threw client-side runtime exceptions when attempting to instantiate MapLibre GL before browser WebGL context initialization. This was resolved by:</w:t>
      </w:r>
    </w:p>
    <w:p>
      <w:pPr>
        <w:spacing w:after="120" w:line="276" w:lineRule="auto"/>
      </w:pPr>
      <w:r>
        <w:rPr>
          <w:sz w:val="21"/>
        </w:rPr>
        <w:t>1. Converting MapLibreView to dynamic client-side loading via dynamic(() =&gt; import(...), { ssr: false }).</w:t>
      </w:r>
    </w:p>
    <w:p>
      <w:pPr>
        <w:spacing w:after="120" w:line="276" w:lineRule="auto"/>
      </w:pPr>
      <w:r>
        <w:rPr>
          <w:sz w:val="21"/>
        </w:rPr>
        <w:t>2. Implementing [ErrorBoundary.tsx](file:///e:/PROJECTS/AGNI-NETRA/frontend/src/components/common/ErrorBoundary.tsx) to isolate UI widgets and prevent page-level crashes.</w:t>
      </w:r>
    </w:p>
    <w:p>
      <w:pPr>
        <w:spacing w:after="120" w:line="276" w:lineRule="auto"/>
      </w:pPr>
      <w:r>
        <w:rPr>
          <w:sz w:val="21"/>
        </w:rPr>
        <w:t>3. Adding defensive null coalescing across all dynamic GeoJSON feature property lookups.</w:t>
      </w:r>
    </w:p>
    <w:p>
      <w:pPr>
        <w:pStyle w:val="Heading1"/>
        <w:spacing w:before="360" w:after="160"/>
      </w:pPr>
      <w:r>
        <w:t>23. Security, Reliability and Disaster Recovery</w:t>
      </w:r>
    </w:p>
    <w:p>
      <w:pPr>
        <w:pStyle w:val="Heading2"/>
        <w:spacing w:before="240" w:after="120"/>
      </w:pPr>
      <w:r>
        <w:t>23.1 Production Hardening Pillars</w:t>
      </w:r>
    </w:p>
    <w:p>
      <w:pPr>
        <w:spacing w:after="120" w:line="276" w:lineRule="auto"/>
      </w:pPr>
      <w:r>
        <w:rPr>
          <w:sz w:val="21"/>
        </w:rPr>
        <w:t>1. Secrets Redaction: All API keys, database credentials, and FIRMS tokens are encapsulated in .env files with automated sanitization filters on application logs.</w:t>
      </w:r>
    </w:p>
    <w:p>
      <w:pPr>
        <w:spacing w:after="120" w:line="276" w:lineRule="auto"/>
      </w:pPr>
      <w:r>
        <w:rPr>
          <w:sz w:val="21"/>
        </w:rPr>
        <w:t>2. Model Registry Integrity: Candidate models (xgb-v3.0-real-candidate) are stored in ml/models/ with registered SHA-256 artifact checksums verified at server startup.</w:t>
      </w:r>
    </w:p>
    <w:p>
      <w:pPr>
        <w:spacing w:after="120" w:line="276" w:lineRule="auto"/>
      </w:pPr>
      <w:r>
        <w:rPr>
          <w:sz w:val="21"/>
        </w:rPr>
        <w:t>3. Automated Rollback Mechanism: Documented in [MODEL_ROLLBACK_RUNBOOK.md](file:///e:/PROJECTS/AGNI-NETRA/MODEL_ROLLBACK_RUNBOOK.md), enabling instantaneous one-command fallback to previous model versions.</w:t>
      </w:r>
    </w:p>
    <w:p>
      <w:pPr>
        <w:spacing w:after="120" w:line="276" w:lineRule="auto"/>
      </w:pPr>
      <w:r>
        <w:rPr>
          <w:sz w:val="21"/>
        </w:rPr>
        <w:t>4. Database Backup &amp; Isolated Restore Verification: Automated daily pg_dump backups tested via end-to-end restore into an isolated verification database (agni_netra_restore_test), confirming 100% table and record recovery.</w:t>
      </w:r>
    </w:p>
    <w:p>
      <w:pPr>
        <w:spacing w:after="120" w:line="276" w:lineRule="auto"/>
      </w:pPr>
      <w:r>
        <w:rPr>
          <w:sz w:val="21"/>
        </w:rPr>
        <w:t>5. Supervisor Health Probes: Backend service exposes /health, /health/liveness, and /health/readiness endpoints with automated worker restart loops.</w:t>
      </w:r>
    </w:p>
    <w:p>
      <w:pPr>
        <w:spacing w:after="120" w:line="276" w:lineRule="auto"/>
      </w:pPr>
      <w:r>
        <w:rPr>
          <w:sz w:val="21"/>
        </w:rPr>
        <w:t>6. Correlation IDs &amp; Rate Limiting: Every HTTP request receives a unique X-Correlation-ID header; rate limiting protects spatial endpoints against denial-of-service degradation.</w:t>
      </w:r>
    </w:p>
    <w:p>
      <w:pPr>
        <w:pStyle w:val="Heading1"/>
        <w:spacing w:before="360" w:after="160"/>
      </w:pPr>
      <w:r>
        <w:t>24. Drift Detection and Feature Remediation</w:t>
      </w:r>
    </w:p>
    <w:p>
      <w:pPr>
        <w:spacing w:after="120" w:line="276" w:lineRule="auto"/>
      </w:pPr>
      <w:r>
        <w:rPr>
          <w:sz w:val="21"/>
        </w:rPr>
        <w:t>During Phase 8D shadow validation on the live 2026 operational stream, continuous monitoring detected elevated Population Stability Index (PSI) scores across five features.</w:t>
      </w:r>
    </w:p>
    <w:p>
      <w:pPr>
        <w:pStyle w:val="Heading2"/>
        <w:spacing w:before="240" w:after="120"/>
      </w:pPr>
      <w:r>
        <w:t>24.1 Empirical Root-Cause Investigation (Phase 8E &amp; 8G)</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Mar>
              <w:top w:w="120" w:type="dxa"/>
              <w:bottom w:w="120" w:type="dxa"/>
              <w:left w:w="140" w:type="dxa"/>
              <w:right w:w="140" w:type="dxa"/>
            </w:tcMar>
          </w:tcPr>
          <w:p>
            <w:pPr>
              <w:jc w:val="left"/>
            </w:pPr>
            <w:r>
              <w:rPr>
                <w:rFonts w:ascii="Calibri" w:hAnsi="Calibri"/>
                <w:b/>
                <w:color w:val="FFFFFF"/>
                <w:sz w:val="19"/>
              </w:rPr>
              <w:t>Feature</w:t>
            </w:r>
          </w:p>
        </w:tc>
        <w:tc>
          <w:tcPr>
            <w:tcW w:type="dxa" w:w="1872"/>
            <w:shd w:fill="003366"/>
            <w:tcMar>
              <w:top w:w="120" w:type="dxa"/>
              <w:bottom w:w="120" w:type="dxa"/>
              <w:left w:w="140" w:type="dxa"/>
              <w:right w:w="140" w:type="dxa"/>
            </w:tcMar>
          </w:tcPr>
          <w:p>
            <w:pPr>
              <w:jc w:val="left"/>
            </w:pPr>
            <w:r>
              <w:rPr>
                <w:rFonts w:ascii="Calibri" w:hAnsi="Calibri"/>
                <w:b/>
                <w:color w:val="FFFFFF"/>
                <w:sz w:val="19"/>
              </w:rPr>
              <w:t>Pre-Remediation PSI</w:t>
            </w:r>
          </w:p>
        </w:tc>
        <w:tc>
          <w:tcPr>
            <w:tcW w:type="dxa" w:w="1872"/>
            <w:shd w:fill="003366"/>
            <w:tcMar>
              <w:top w:w="120" w:type="dxa"/>
              <w:bottom w:w="120" w:type="dxa"/>
              <w:left w:w="140" w:type="dxa"/>
              <w:right w:w="140" w:type="dxa"/>
            </w:tcMar>
          </w:tcPr>
          <w:p>
            <w:pPr>
              <w:jc w:val="left"/>
            </w:pPr>
            <w:r>
              <w:rPr>
                <w:rFonts w:ascii="Calibri" w:hAnsi="Calibri"/>
                <w:b/>
                <w:color w:val="FFFFFF"/>
                <w:sz w:val="19"/>
              </w:rPr>
              <w:t>Diagnosed Root Cause</w:t>
            </w:r>
          </w:p>
        </w:tc>
        <w:tc>
          <w:tcPr>
            <w:tcW w:type="dxa" w:w="1872"/>
            <w:shd w:fill="003366"/>
            <w:tcMar>
              <w:top w:w="120" w:type="dxa"/>
              <w:bottom w:w="120" w:type="dxa"/>
              <w:left w:w="140" w:type="dxa"/>
              <w:right w:w="140" w:type="dxa"/>
            </w:tcMar>
          </w:tcPr>
          <w:p>
            <w:pPr>
              <w:jc w:val="left"/>
            </w:pPr>
            <w:r>
              <w:rPr>
                <w:rFonts w:ascii="Calibri" w:hAnsi="Calibri"/>
                <w:b/>
                <w:color w:val="FFFFFF"/>
                <w:sz w:val="19"/>
              </w:rPr>
              <w:t>Remediation Formula Applied</w:t>
            </w:r>
          </w:p>
        </w:tc>
        <w:tc>
          <w:tcPr>
            <w:tcW w:type="dxa" w:w="2016"/>
            <w:shd w:fill="003366"/>
            <w:tcMar>
              <w:top w:w="120" w:type="dxa"/>
              <w:bottom w:w="120" w:type="dxa"/>
              <w:left w:w="140" w:type="dxa"/>
              <w:right w:w="140" w:type="dxa"/>
            </w:tcMar>
          </w:tcPr>
          <w:p>
            <w:pPr>
              <w:jc w:val="left"/>
            </w:pPr>
            <w:r>
              <w:rPr>
                <w:rFonts w:ascii="Calibri" w:hAnsi="Calibri"/>
                <w:b/>
                <w:color w:val="FFFFFF"/>
                <w:sz w:val="19"/>
              </w:rPr>
              <w:t>Post-Remediation PSI (VAL vs TEST)</w:t>
            </w:r>
          </w:p>
        </w:tc>
      </w:tr>
      <w:tr>
        <w:tc>
          <w:tcPr>
            <w:tcW w:type="dxa" w:w="2160"/>
            <w:shd w:fill="FFFFFF"/>
            <w:tcMar>
              <w:top w:w="100" w:type="dxa"/>
              <w:bottom w:w="100" w:type="dxa"/>
              <w:left w:w="140" w:type="dxa"/>
              <w:right w:w="140" w:type="dxa"/>
            </w:tcMar>
          </w:tcPr>
          <w:p>
            <w:pPr>
              <w:jc w:val="left"/>
            </w:pPr>
            <w:r>
              <w:rPr>
                <w:rFonts w:ascii="Calibri" w:hAnsi="Calibri"/>
                <w:sz w:val="18"/>
              </w:rPr>
              <w:t>persistence_score</w:t>
            </w:r>
          </w:p>
        </w:tc>
        <w:tc>
          <w:tcPr>
            <w:tcW w:type="dxa" w:w="1872"/>
            <w:shd w:fill="FFFFFF"/>
            <w:tcMar>
              <w:top w:w="100" w:type="dxa"/>
              <w:bottom w:w="100" w:type="dxa"/>
              <w:left w:w="140" w:type="dxa"/>
              <w:right w:w="140" w:type="dxa"/>
            </w:tcMar>
          </w:tcPr>
          <w:p>
            <w:pPr>
              <w:jc w:val="left"/>
            </w:pPr>
            <w:r>
              <w:rPr>
                <w:rFonts w:ascii="Calibri" w:hAnsi="Calibri"/>
                <w:sz w:val="18"/>
              </w:rPr>
              <w:t>2.2532</w:t>
            </w:r>
          </w:p>
        </w:tc>
        <w:tc>
          <w:tcPr>
            <w:tcW w:type="dxa" w:w="1872"/>
            <w:shd w:fill="FFFFFF"/>
            <w:tcMar>
              <w:top w:w="100" w:type="dxa"/>
              <w:bottom w:w="100" w:type="dxa"/>
              <w:left w:w="140" w:type="dxa"/>
              <w:right w:w="140" w:type="dxa"/>
            </w:tcMar>
          </w:tcPr>
          <w:p>
            <w:pPr>
              <w:jc w:val="left"/>
            </w:pPr>
            <w:r>
              <w:rPr>
                <w:rFonts w:ascii="Calibri" w:hAnsi="Calibri"/>
                <w:sz w:val="18"/>
              </w:rPr>
              <w:t>Unbounded expanding query ($t_{\text{obs}} &lt; t$) accumulated days monotonically from 2022 to 2026.</w:t>
            </w:r>
          </w:p>
        </w:tc>
        <w:tc>
          <w:tcPr>
            <w:tcW w:type="dxa" w:w="1872"/>
            <w:shd w:fill="FFFFFF"/>
            <w:tcMar>
              <w:top w:w="100" w:type="dxa"/>
              <w:bottom w:w="100" w:type="dxa"/>
              <w:left w:w="140" w:type="dxa"/>
              <w:right w:w="140" w:type="dxa"/>
            </w:tcMar>
          </w:tcPr>
          <w:p>
            <w:pPr>
              <w:jc w:val="left"/>
            </w:pPr>
            <w:r>
              <w:rPr>
                <w:rFonts w:ascii="Calibri" w:hAnsi="Calibri"/>
                <w:sz w:val="18"/>
              </w:rPr>
              <w:t>Fixed 30-day sliding window: $\frac{\text{active\_days\_30d}}{30.0}$</w:t>
            </w:r>
          </w:p>
        </w:tc>
        <w:tc>
          <w:tcPr>
            <w:tcW w:type="dxa" w:w="2016"/>
            <w:shd w:fill="FFFFFF"/>
            <w:tcMar>
              <w:top w:w="100" w:type="dxa"/>
              <w:bottom w:w="100" w:type="dxa"/>
              <w:left w:w="140" w:type="dxa"/>
              <w:right w:w="140" w:type="dxa"/>
            </w:tcMar>
          </w:tcPr>
          <w:p>
            <w:pPr>
              <w:jc w:val="left"/>
            </w:pPr>
            <w:r>
              <w:rPr>
                <w:rFonts w:ascii="Calibri" w:hAnsi="Calibri"/>
                <w:sz w:val="18"/>
              </w:rPr>
              <w:t>0.0300 (STABLE)</w:t>
            </w:r>
          </w:p>
        </w:tc>
      </w:tr>
      <w:tr>
        <w:tc>
          <w:tcPr>
            <w:tcW w:type="dxa" w:w="2160"/>
            <w:shd w:fill="F8F9FA"/>
            <w:tcMar>
              <w:top w:w="100" w:type="dxa"/>
              <w:bottom w:w="100" w:type="dxa"/>
              <w:left w:w="140" w:type="dxa"/>
              <w:right w:w="140" w:type="dxa"/>
            </w:tcMar>
          </w:tcPr>
          <w:p>
            <w:pPr>
              <w:jc w:val="left"/>
            </w:pPr>
            <w:r>
              <w:rPr>
                <w:rFonts w:ascii="Calibri" w:hAnsi="Calibri"/>
                <w:sz w:val="18"/>
              </w:rPr>
              <w:t>recurrence_rate</w:t>
            </w:r>
          </w:p>
        </w:tc>
        <w:tc>
          <w:tcPr>
            <w:tcW w:type="dxa" w:w="1872"/>
            <w:shd w:fill="F8F9FA"/>
            <w:tcMar>
              <w:top w:w="100" w:type="dxa"/>
              <w:bottom w:w="100" w:type="dxa"/>
              <w:left w:w="140" w:type="dxa"/>
              <w:right w:w="140" w:type="dxa"/>
            </w:tcMar>
          </w:tcPr>
          <w:p>
            <w:pPr>
              <w:jc w:val="left"/>
            </w:pPr>
            <w:r>
              <w:rPr>
                <w:rFonts w:ascii="Calibri" w:hAnsi="Calibri"/>
                <w:sz w:val="18"/>
              </w:rPr>
              <w:t>0.7684</w:t>
            </w:r>
          </w:p>
        </w:tc>
        <w:tc>
          <w:tcPr>
            <w:tcW w:type="dxa" w:w="1872"/>
            <w:shd w:fill="F8F9FA"/>
            <w:tcMar>
              <w:top w:w="100" w:type="dxa"/>
              <w:bottom w:w="100" w:type="dxa"/>
              <w:left w:w="140" w:type="dxa"/>
              <w:right w:w="140" w:type="dxa"/>
            </w:tcMar>
          </w:tcPr>
          <w:p>
            <w:pPr>
              <w:jc w:val="left"/>
            </w:pPr>
            <w:r>
              <w:rPr>
                <w:rFonts w:ascii="Calibri" w:hAnsi="Calibri"/>
                <w:sz w:val="18"/>
              </w:rPr>
              <w:t>Archive boundary truncation: 2022 events had only 182.5d mean lookback vs 365d in 2025/2026.</w:t>
            </w:r>
          </w:p>
        </w:tc>
        <w:tc>
          <w:tcPr>
            <w:tcW w:type="dxa" w:w="1872"/>
            <w:shd w:fill="F8F9FA"/>
            <w:tcMar>
              <w:top w:w="100" w:type="dxa"/>
              <w:bottom w:w="100" w:type="dxa"/>
              <w:left w:w="140" w:type="dxa"/>
              <w:right w:w="140" w:type="dxa"/>
            </w:tcMar>
          </w:tcPr>
          <w:p>
            <w:pPr>
              <w:jc w:val="left"/>
            </w:pPr>
            <w:r>
              <w:rPr>
                <w:rFonts w:ascii="Calibri" w:hAnsi="Calibri"/>
                <w:sz w:val="18"/>
              </w:rPr>
              <w:t>Lookback-normalized rate: $\log\left(1 + N_{365\text{d}} \cdot \frac{365}{\text{avail\_days}}\right)$</w:t>
            </w:r>
          </w:p>
        </w:tc>
        <w:tc>
          <w:tcPr>
            <w:tcW w:type="dxa" w:w="2016"/>
            <w:shd w:fill="F8F9FA"/>
            <w:tcMar>
              <w:top w:w="100" w:type="dxa"/>
              <w:bottom w:w="100" w:type="dxa"/>
              <w:left w:w="140" w:type="dxa"/>
              <w:right w:w="140" w:type="dxa"/>
            </w:tcMar>
          </w:tcPr>
          <w:p>
            <w:pPr>
              <w:jc w:val="left"/>
            </w:pPr>
            <w:r>
              <w:rPr>
                <w:rFonts w:ascii="Calibri" w:hAnsi="Calibri"/>
                <w:sz w:val="18"/>
              </w:rPr>
              <w:t>0.1316 (STABLE)</w:t>
            </w:r>
          </w:p>
        </w:tc>
      </w:tr>
      <w:tr>
        <w:tc>
          <w:tcPr>
            <w:tcW w:type="dxa" w:w="2160"/>
            <w:shd w:fill="FFFFFF"/>
            <w:tcMar>
              <w:top w:w="100" w:type="dxa"/>
              <w:bottom w:w="100" w:type="dxa"/>
              <w:left w:w="140" w:type="dxa"/>
              <w:right w:w="140" w:type="dxa"/>
            </w:tcMar>
          </w:tcPr>
          <w:p>
            <w:pPr>
              <w:jc w:val="left"/>
            </w:pPr>
            <w:r>
              <w:rPr>
                <w:rFonts w:ascii="Calibri" w:hAnsi="Calibri"/>
                <w:sz w:val="18"/>
              </w:rPr>
              <w:t>baseline_deviation_ratio</w:t>
            </w:r>
          </w:p>
        </w:tc>
        <w:tc>
          <w:tcPr>
            <w:tcW w:type="dxa" w:w="1872"/>
            <w:shd w:fill="FFFFFF"/>
            <w:tcMar>
              <w:top w:w="100" w:type="dxa"/>
              <w:bottom w:w="100" w:type="dxa"/>
              <w:left w:w="140" w:type="dxa"/>
              <w:right w:w="140" w:type="dxa"/>
            </w:tcMar>
          </w:tcPr>
          <w:p>
            <w:pPr>
              <w:jc w:val="left"/>
            </w:pPr>
            <w:r>
              <w:rPr>
                <w:rFonts w:ascii="Calibri" w:hAnsi="Calibri"/>
                <w:sz w:val="18"/>
              </w:rPr>
              <w:t>0.3228</w:t>
            </w:r>
          </w:p>
        </w:tc>
        <w:tc>
          <w:tcPr>
            <w:tcW w:type="dxa" w:w="1872"/>
            <w:shd w:fill="FFFFFF"/>
            <w:tcMar>
              <w:top w:w="100" w:type="dxa"/>
              <w:bottom w:w="100" w:type="dxa"/>
              <w:left w:w="140" w:type="dxa"/>
              <w:right w:w="140" w:type="dxa"/>
            </w:tcMar>
          </w:tcPr>
          <w:p>
            <w:pPr>
              <w:jc w:val="left"/>
            </w:pPr>
            <w:r>
              <w:rPr>
                <w:rFonts w:ascii="Calibri" w:hAnsi="Calibri"/>
                <w:sz w:val="18"/>
              </w:rPr>
              <w:t>Cold-start fallback asymmetry in early 2022 records.</w:t>
            </w:r>
          </w:p>
        </w:tc>
        <w:tc>
          <w:tcPr>
            <w:tcW w:type="dxa" w:w="1872"/>
            <w:shd w:fill="FFFFFF"/>
            <w:tcMar>
              <w:top w:w="100" w:type="dxa"/>
              <w:bottom w:w="100" w:type="dxa"/>
              <w:left w:w="140" w:type="dxa"/>
              <w:right w:w="140" w:type="dxa"/>
            </w:tcMar>
          </w:tcPr>
          <w:p>
            <w:pPr>
              <w:jc w:val="left"/>
            </w:pPr>
            <w:r>
              <w:rPr>
                <w:rFonts w:ascii="Calibri" w:hAnsi="Calibri"/>
                <w:sz w:val="18"/>
              </w:rPr>
              <w:t>Minimum floor formulation: $\max\left(1.0, \frac{N_{30\text{d}}}{\mu + \epsilon}\right)$</w:t>
            </w:r>
          </w:p>
        </w:tc>
        <w:tc>
          <w:tcPr>
            <w:tcW w:type="dxa" w:w="2016"/>
            <w:shd w:fill="FFFFFF"/>
            <w:tcMar>
              <w:top w:w="100" w:type="dxa"/>
              <w:bottom w:w="100" w:type="dxa"/>
              <w:left w:w="140" w:type="dxa"/>
              <w:right w:w="140" w:type="dxa"/>
            </w:tcMar>
          </w:tcPr>
          <w:p>
            <w:pPr>
              <w:jc w:val="left"/>
            </w:pPr>
            <w:r>
              <w:rPr>
                <w:rFonts w:ascii="Calibri" w:hAnsi="Calibri"/>
                <w:sz w:val="18"/>
              </w:rPr>
              <w:t>0.0384 (STABLE)</w:t>
            </w:r>
          </w:p>
        </w:tc>
      </w:tr>
      <w:tr>
        <w:tc>
          <w:tcPr>
            <w:tcW w:type="dxa" w:w="2160"/>
            <w:shd w:fill="F8F9FA"/>
            <w:tcMar>
              <w:top w:w="100" w:type="dxa"/>
              <w:bottom w:w="100" w:type="dxa"/>
              <w:left w:w="140" w:type="dxa"/>
              <w:right w:w="140" w:type="dxa"/>
            </w:tcMar>
          </w:tcPr>
          <w:p>
            <w:pPr>
              <w:jc w:val="left"/>
            </w:pPr>
            <w:r>
              <w:rPr>
                <w:rFonts w:ascii="Calibri" w:hAnsi="Calibri"/>
                <w:sz w:val="18"/>
              </w:rPr>
              <w:t>dist_to_water_m</w:t>
            </w:r>
          </w:p>
        </w:tc>
        <w:tc>
          <w:tcPr>
            <w:tcW w:type="dxa" w:w="1872"/>
            <w:shd w:fill="F8F9FA"/>
            <w:tcMar>
              <w:top w:w="100" w:type="dxa"/>
              <w:bottom w:w="100" w:type="dxa"/>
              <w:left w:w="140" w:type="dxa"/>
              <w:right w:w="140" w:type="dxa"/>
            </w:tcMar>
          </w:tcPr>
          <w:p>
            <w:pPr>
              <w:jc w:val="left"/>
            </w:pPr>
            <w:r>
              <w:rPr>
                <w:rFonts w:ascii="Calibri" w:hAnsi="Calibri"/>
                <w:sz w:val="18"/>
              </w:rPr>
              <w:t>0.2890</w:t>
            </w:r>
          </w:p>
        </w:tc>
        <w:tc>
          <w:tcPr>
            <w:tcW w:type="dxa" w:w="1872"/>
            <w:shd w:fill="F8F9FA"/>
            <w:tcMar>
              <w:top w:w="100" w:type="dxa"/>
              <w:bottom w:w="100" w:type="dxa"/>
              <w:left w:w="140" w:type="dxa"/>
              <w:right w:w="140" w:type="dxa"/>
            </w:tcMar>
          </w:tcPr>
          <w:p>
            <w:pPr>
              <w:jc w:val="left"/>
            </w:pPr>
            <w:r>
              <w:rPr>
                <w:rFonts w:ascii="Calibri" w:hAnsi="Calibri"/>
                <w:sz w:val="18"/>
              </w:rPr>
              <w:t>Real geographic shift: 2026 operational sample contained higher density of coastal petrochemical plants.</w:t>
            </w:r>
          </w:p>
        </w:tc>
        <w:tc>
          <w:tcPr>
            <w:tcW w:type="dxa" w:w="1872"/>
            <w:shd w:fill="F8F9FA"/>
            <w:tcMar>
              <w:top w:w="100" w:type="dxa"/>
              <w:bottom w:w="100" w:type="dxa"/>
              <w:left w:w="140" w:type="dxa"/>
              <w:right w:w="140" w:type="dxa"/>
            </w:tcMar>
          </w:tcPr>
          <w:p>
            <w:pPr>
              <w:jc w:val="left"/>
            </w:pPr>
            <w:r>
              <w:rPr>
                <w:rFonts w:ascii="Calibri" w:hAnsi="Calibri"/>
                <w:sz w:val="18"/>
              </w:rPr>
              <w:t>Retained as genuine geographic variation.</w:t>
            </w:r>
          </w:p>
        </w:tc>
        <w:tc>
          <w:tcPr>
            <w:tcW w:type="dxa" w:w="2016"/>
            <w:shd w:fill="F8F9FA"/>
            <w:tcMar>
              <w:top w:w="100" w:type="dxa"/>
              <w:bottom w:w="100" w:type="dxa"/>
              <w:left w:w="140" w:type="dxa"/>
              <w:right w:w="140" w:type="dxa"/>
            </w:tcMar>
          </w:tcPr>
          <w:p>
            <w:pPr>
              <w:jc w:val="left"/>
            </w:pPr>
            <w:r>
              <w:rPr>
                <w:rFonts w:ascii="Calibri" w:hAnsi="Calibri"/>
                <w:sz w:val="18"/>
              </w:rPr>
              <w:t>0.1450 (STABLE)</w:t>
            </w:r>
          </w:p>
        </w:tc>
      </w:tr>
      <w:tr>
        <w:tc>
          <w:tcPr>
            <w:tcW w:type="dxa" w:w="2160"/>
            <w:shd w:fill="FFFFFF"/>
            <w:tcMar>
              <w:top w:w="100" w:type="dxa"/>
              <w:bottom w:w="100" w:type="dxa"/>
              <w:left w:w="140" w:type="dxa"/>
              <w:right w:w="140" w:type="dxa"/>
            </w:tcMar>
          </w:tcPr>
          <w:p>
            <w:pPr>
              <w:jc w:val="left"/>
            </w:pPr>
            <w:r>
              <w:rPr>
                <w:rFonts w:ascii="Calibri" w:hAnsi="Calibri"/>
                <w:sz w:val="18"/>
              </w:rPr>
              <w:t>bright_max</w:t>
            </w:r>
          </w:p>
        </w:tc>
        <w:tc>
          <w:tcPr>
            <w:tcW w:type="dxa" w:w="1872"/>
            <w:shd w:fill="FFFFFF"/>
            <w:tcMar>
              <w:top w:w="100" w:type="dxa"/>
              <w:bottom w:w="100" w:type="dxa"/>
              <w:left w:w="140" w:type="dxa"/>
              <w:right w:w="140" w:type="dxa"/>
            </w:tcMar>
          </w:tcPr>
          <w:p>
            <w:pPr>
              <w:jc w:val="left"/>
            </w:pPr>
            <w:r>
              <w:rPr>
                <w:rFonts w:ascii="Calibri" w:hAnsi="Calibri"/>
                <w:sz w:val="18"/>
              </w:rPr>
              <w:t>0.1383</w:t>
            </w:r>
          </w:p>
        </w:tc>
        <w:tc>
          <w:tcPr>
            <w:tcW w:type="dxa" w:w="1872"/>
            <w:shd w:fill="FFFFFF"/>
            <w:tcMar>
              <w:top w:w="100" w:type="dxa"/>
              <w:bottom w:w="100" w:type="dxa"/>
              <w:left w:w="140" w:type="dxa"/>
              <w:right w:w="140" w:type="dxa"/>
            </w:tcMar>
          </w:tcPr>
          <w:p>
            <w:pPr>
              <w:jc w:val="left"/>
            </w:pPr>
            <w:r>
              <w:rPr>
                <w:rFonts w:ascii="Calibri" w:hAnsi="Calibri"/>
                <w:sz w:val="18"/>
              </w:rPr>
              <w:t>Seasonal variation: Late monsoon cloud attenuation reduced raw brightness temperatures.</w:t>
            </w:r>
          </w:p>
        </w:tc>
        <w:tc>
          <w:tcPr>
            <w:tcW w:type="dxa" w:w="1872"/>
            <w:shd w:fill="FFFFFF"/>
            <w:tcMar>
              <w:top w:w="100" w:type="dxa"/>
              <w:bottom w:w="100" w:type="dxa"/>
              <w:left w:w="140" w:type="dxa"/>
              <w:right w:w="140" w:type="dxa"/>
            </w:tcMar>
          </w:tcPr>
          <w:p>
            <w:pPr>
              <w:jc w:val="left"/>
            </w:pPr>
            <w:r>
              <w:rPr>
                <w:rFonts w:ascii="Calibri" w:hAnsi="Calibri"/>
                <w:sz w:val="18"/>
              </w:rPr>
              <w:t>Retained as natural seasonal variation.</w:t>
            </w:r>
          </w:p>
        </w:tc>
        <w:tc>
          <w:tcPr>
            <w:tcW w:type="dxa" w:w="2016"/>
            <w:shd w:fill="FFFFFF"/>
            <w:tcMar>
              <w:top w:w="100" w:type="dxa"/>
              <w:bottom w:w="100" w:type="dxa"/>
              <w:left w:w="140" w:type="dxa"/>
              <w:right w:w="140" w:type="dxa"/>
            </w:tcMar>
          </w:tcPr>
          <w:p>
            <w:pPr>
              <w:jc w:val="left"/>
            </w:pPr>
            <w:r>
              <w:rPr>
                <w:rFonts w:ascii="Calibri" w:hAnsi="Calibri"/>
                <w:sz w:val="18"/>
              </w:rPr>
              <w:t>0.0546 (STABLE)</w:t>
            </w:r>
          </w:p>
        </w:tc>
      </w:tr>
    </w:tbl>
    <w:p>
      <w:pPr>
        <w:spacing w:after="160"/>
      </w:pPr>
    </w:p>
    <w:tbl>
      <w:tblPr>
        <w:tblW w:type="auto" w:w="0"/>
        <w:jc w:val="center"/>
        <w:tblLook w:firstColumn="1" w:firstRow="1" w:lastColumn="0" w:lastRow="0" w:noHBand="0" w:noVBand="1" w:val="04A0"/>
      </w:tblPr>
      <w:tblGrid>
        <w:gridCol w:w="9936"/>
      </w:tblGrid>
      <w:tr>
        <w:tc>
          <w:tcPr>
            <w:tcW w:type="dxa" w:w="9936"/>
            <w:shd w:fill="EBF3FA"/>
            <w:tcMar>
              <w:top w:w="140" w:type="dxa"/>
              <w:bottom w:w="140" w:type="dxa"/>
              <w:left w:w="200" w:type="dxa"/>
              <w:right w:w="200" w:type="dxa"/>
            </w:tcMar>
            <w:tcBorders>
              <w:top w:val="none"/>
              <w:left w:val="single" w:sz="36" w:space="0" w:color="003366"/>
              <w:bottom w:val="none"/>
              <w:right w:val="none"/>
            </w:tcBorders>
          </w:tcPr>
          <w:p>
            <w:pPr>
              <w:spacing w:before="40" w:after="40"/>
            </w:pPr>
            <w:r>
              <w:rPr>
                <w:b/>
                <w:color w:val="003366"/>
              </w:rPr>
              <w:t xml:space="preserve">[KEY FINDING] </w:t>
            </w:r>
            <w:r>
              <w:rPr>
                <w:sz w:val="20"/>
              </w:rPr>
              <w:t>The drift was not caused by environmental collapse or model decay, but by **expanding historical query horizons** and **archive boundary truncation** in early database records. Remediation eliminated pipeline-induced drift while preserving true physical sensitivity.</w:t>
            </w:r>
          </w:p>
        </w:tc>
      </w:tr>
    </w:tbl>
    <w:p>
      <w:pPr>
        <w:spacing w:after="120"/>
      </w:pPr>
    </w:p>
    <w:p>
      <w:pPr>
        <w:pStyle w:val="Heading1"/>
        <w:spacing w:before="360" w:after="160"/>
      </w:pPr>
      <w:r>
        <w:t>25. Experimental Results and Performance</w:t>
      </w:r>
    </w:p>
    <w:p>
      <w:pPr>
        <w:pStyle w:val="Heading2"/>
        <w:spacing w:before="240" w:after="120"/>
      </w:pPr>
      <w:r>
        <w:t>25.1 Class-Wise Performance Metrics on Frozen 2026 Test Set ($N=176$)</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872"/>
            <w:shd w:fill="003366"/>
            <w:tcMar>
              <w:top w:w="120" w:type="dxa"/>
              <w:bottom w:w="120" w:type="dxa"/>
              <w:left w:w="140" w:type="dxa"/>
              <w:right w:w="140" w:type="dxa"/>
            </w:tcMar>
          </w:tcPr>
          <w:p>
            <w:pPr>
              <w:jc w:val="left"/>
            </w:pPr>
            <w:r>
              <w:rPr>
                <w:rFonts w:ascii="Calibri" w:hAnsi="Calibri"/>
                <w:b/>
                <w:color w:val="FFFFFF"/>
                <w:sz w:val="19"/>
              </w:rPr>
              <w:t>Operational Class</w:t>
            </w:r>
          </w:p>
        </w:tc>
        <w:tc>
          <w:tcPr>
            <w:tcW w:type="dxa" w:w="1584"/>
            <w:shd w:fill="003366"/>
            <w:tcMar>
              <w:top w:w="120" w:type="dxa"/>
              <w:bottom w:w="120" w:type="dxa"/>
              <w:left w:w="140" w:type="dxa"/>
              <w:right w:w="140" w:type="dxa"/>
            </w:tcMar>
          </w:tcPr>
          <w:p>
            <w:pPr>
              <w:jc w:val="left"/>
            </w:pPr>
            <w:r>
              <w:rPr>
                <w:rFonts w:ascii="Calibri" w:hAnsi="Calibri"/>
                <w:b/>
                <w:color w:val="FFFFFF"/>
                <w:sz w:val="19"/>
              </w:rPr>
              <w:t>Support ($N$)</w:t>
            </w:r>
          </w:p>
        </w:tc>
        <w:tc>
          <w:tcPr>
            <w:tcW w:type="dxa" w:w="1584"/>
            <w:shd w:fill="003366"/>
            <w:tcMar>
              <w:top w:w="120" w:type="dxa"/>
              <w:bottom w:w="120" w:type="dxa"/>
              <w:left w:w="140" w:type="dxa"/>
              <w:right w:w="140" w:type="dxa"/>
            </w:tcMar>
          </w:tcPr>
          <w:p>
            <w:pPr>
              <w:jc w:val="left"/>
            </w:pPr>
            <w:r>
              <w:rPr>
                <w:rFonts w:ascii="Calibri" w:hAnsi="Calibri"/>
                <w:b/>
                <w:color w:val="FFFFFF"/>
                <w:sz w:val="19"/>
              </w:rPr>
              <w:t>Precision</w:t>
            </w:r>
          </w:p>
        </w:tc>
        <w:tc>
          <w:tcPr>
            <w:tcW w:type="dxa" w:w="1584"/>
            <w:shd w:fill="003366"/>
            <w:tcMar>
              <w:top w:w="120" w:type="dxa"/>
              <w:bottom w:w="120" w:type="dxa"/>
              <w:left w:w="140" w:type="dxa"/>
              <w:right w:w="140" w:type="dxa"/>
            </w:tcMar>
          </w:tcPr>
          <w:p>
            <w:pPr>
              <w:jc w:val="left"/>
            </w:pPr>
            <w:r>
              <w:rPr>
                <w:rFonts w:ascii="Calibri" w:hAnsi="Calibri"/>
                <w:b/>
                <w:color w:val="FFFFFF"/>
                <w:sz w:val="19"/>
              </w:rPr>
              <w:t>Recall</w:t>
            </w:r>
          </w:p>
        </w:tc>
        <w:tc>
          <w:tcPr>
            <w:tcW w:type="dxa" w:w="1584"/>
            <w:shd w:fill="003366"/>
            <w:tcMar>
              <w:top w:w="120" w:type="dxa"/>
              <w:bottom w:w="120" w:type="dxa"/>
              <w:left w:w="140" w:type="dxa"/>
              <w:right w:w="140" w:type="dxa"/>
            </w:tcMar>
          </w:tcPr>
          <w:p>
            <w:pPr>
              <w:jc w:val="left"/>
            </w:pPr>
            <w:r>
              <w:rPr>
                <w:rFonts w:ascii="Calibri" w:hAnsi="Calibri"/>
                <w:b/>
                <w:color w:val="FFFFFF"/>
                <w:sz w:val="19"/>
              </w:rPr>
              <w:t>F1-Score</w:t>
            </w:r>
          </w:p>
        </w:tc>
        <w:tc>
          <w:tcPr>
            <w:tcW w:type="dxa" w:w="1584"/>
            <w:shd w:fill="003366"/>
            <w:tcMar>
              <w:top w:w="120" w:type="dxa"/>
              <w:bottom w:w="120" w:type="dxa"/>
              <w:left w:w="140" w:type="dxa"/>
              <w:right w:w="140" w:type="dxa"/>
            </w:tcMar>
          </w:tcPr>
          <w:p>
            <w:pPr>
              <w:jc w:val="left"/>
            </w:pPr>
            <w:r>
              <w:rPr>
                <w:rFonts w:ascii="Calibri" w:hAnsi="Calibri"/>
                <w:b/>
                <w:color w:val="FFFFFF"/>
                <w:sz w:val="19"/>
              </w:rPr>
              <w:t>Operational Sensitivity</w:t>
            </w:r>
          </w:p>
        </w:tc>
      </w:tr>
      <w:tr>
        <w:tc>
          <w:tcPr>
            <w:tcW w:type="dxa" w:w="1872"/>
            <w:shd w:fill="FFFFFF"/>
            <w:tcMar>
              <w:top w:w="100" w:type="dxa"/>
              <w:bottom w:w="100" w:type="dxa"/>
              <w:left w:w="140" w:type="dxa"/>
              <w:right w:w="140" w:type="dxa"/>
            </w:tcMar>
          </w:tcPr>
          <w:p>
            <w:pPr>
              <w:jc w:val="left"/>
            </w:pPr>
            <w:r>
              <w:rPr>
                <w:rFonts w:ascii="Calibri" w:hAnsi="Calibri"/>
                <w:sz w:val="18"/>
              </w:rPr>
              <w:t>Industrial Fire</w:t>
            </w:r>
          </w:p>
        </w:tc>
        <w:tc>
          <w:tcPr>
            <w:tcW w:type="dxa" w:w="1584"/>
            <w:shd w:fill="FFFFFF"/>
            <w:tcMar>
              <w:top w:w="100" w:type="dxa"/>
              <w:bottom w:w="100" w:type="dxa"/>
              <w:left w:w="140" w:type="dxa"/>
              <w:right w:w="140" w:type="dxa"/>
            </w:tcMar>
          </w:tcPr>
          <w:p>
            <w:pPr>
              <w:jc w:val="left"/>
            </w:pPr>
            <w:r>
              <w:rPr>
                <w:rFonts w:ascii="Calibri" w:hAnsi="Calibri"/>
                <w:sz w:val="18"/>
              </w:rPr>
              <w:t>30</w:t>
            </w:r>
          </w:p>
        </w:tc>
        <w:tc>
          <w:tcPr>
            <w:tcW w:type="dxa" w:w="1584"/>
            <w:shd w:fill="FFFFFF"/>
            <w:tcMar>
              <w:top w:w="100" w:type="dxa"/>
              <w:bottom w:w="100" w:type="dxa"/>
              <w:left w:w="140" w:type="dxa"/>
              <w:right w:w="140" w:type="dxa"/>
            </w:tcMar>
          </w:tcPr>
          <w:p>
            <w:pPr>
              <w:jc w:val="left"/>
            </w:pPr>
            <w:r>
              <w:rPr>
                <w:rFonts w:ascii="Calibri" w:hAnsi="Calibri"/>
                <w:sz w:val="18"/>
              </w:rPr>
              <w:t>0.5769</w:t>
            </w:r>
          </w:p>
        </w:tc>
        <w:tc>
          <w:tcPr>
            <w:tcW w:type="dxa" w:w="1584"/>
            <w:shd w:fill="FFFFFF"/>
            <w:tcMar>
              <w:top w:w="100" w:type="dxa"/>
              <w:bottom w:w="100" w:type="dxa"/>
              <w:left w:w="140" w:type="dxa"/>
              <w:right w:w="140" w:type="dxa"/>
            </w:tcMar>
          </w:tcPr>
          <w:p>
            <w:pPr>
              <w:jc w:val="left"/>
            </w:pPr>
            <w:r>
              <w:rPr>
                <w:rFonts w:ascii="Calibri" w:hAnsi="Calibri"/>
                <w:sz w:val="18"/>
              </w:rPr>
              <w:t>1.0000</w:t>
            </w:r>
          </w:p>
        </w:tc>
        <w:tc>
          <w:tcPr>
            <w:tcW w:type="dxa" w:w="1584"/>
            <w:shd w:fill="FFFFFF"/>
            <w:tcMar>
              <w:top w:w="100" w:type="dxa"/>
              <w:bottom w:w="100" w:type="dxa"/>
              <w:left w:w="140" w:type="dxa"/>
              <w:right w:w="140" w:type="dxa"/>
            </w:tcMar>
          </w:tcPr>
          <w:p>
            <w:pPr>
              <w:jc w:val="left"/>
            </w:pPr>
            <w:r>
              <w:rPr>
                <w:rFonts w:ascii="Calibri" w:hAnsi="Calibri"/>
                <w:sz w:val="18"/>
              </w:rPr>
              <w:t>0.7317</w:t>
            </w:r>
          </w:p>
        </w:tc>
        <w:tc>
          <w:tcPr>
            <w:tcW w:type="dxa" w:w="1584"/>
            <w:shd w:fill="FFFFFF"/>
            <w:tcMar>
              <w:top w:w="100" w:type="dxa"/>
              <w:bottom w:w="100" w:type="dxa"/>
              <w:left w:w="140" w:type="dxa"/>
              <w:right w:w="140" w:type="dxa"/>
            </w:tcMar>
          </w:tcPr>
          <w:p>
            <w:pPr>
              <w:jc w:val="left"/>
            </w:pPr>
            <w:r>
              <w:rPr>
                <w:rFonts w:ascii="Calibri" w:hAnsi="Calibri"/>
                <w:sz w:val="18"/>
              </w:rPr>
              <w:t>Zero Missed Industrial Fires (100% Recall)</w:t>
            </w:r>
          </w:p>
        </w:tc>
      </w:tr>
      <w:tr>
        <w:tc>
          <w:tcPr>
            <w:tcW w:type="dxa" w:w="1872"/>
            <w:shd w:fill="F8F9FA"/>
            <w:tcMar>
              <w:top w:w="100" w:type="dxa"/>
              <w:bottom w:w="100" w:type="dxa"/>
              <w:left w:w="140" w:type="dxa"/>
              <w:right w:w="140" w:type="dxa"/>
            </w:tcMar>
          </w:tcPr>
          <w:p>
            <w:pPr>
              <w:jc w:val="left"/>
            </w:pPr>
            <w:r>
              <w:rPr>
                <w:rFonts w:ascii="Calibri" w:hAnsi="Calibri"/>
                <w:sz w:val="18"/>
              </w:rPr>
              <w:t>Gas Flare</w:t>
            </w:r>
          </w:p>
        </w:tc>
        <w:tc>
          <w:tcPr>
            <w:tcW w:type="dxa" w:w="1584"/>
            <w:shd w:fill="F8F9FA"/>
            <w:tcMar>
              <w:top w:w="100" w:type="dxa"/>
              <w:bottom w:w="100" w:type="dxa"/>
              <w:left w:w="140" w:type="dxa"/>
              <w:right w:w="140" w:type="dxa"/>
            </w:tcMar>
          </w:tcPr>
          <w:p>
            <w:pPr>
              <w:jc w:val="left"/>
            </w:pPr>
            <w:r>
              <w:rPr>
                <w:rFonts w:ascii="Calibri" w:hAnsi="Calibri"/>
                <w:sz w:val="18"/>
              </w:rPr>
              <w:t>34</w:t>
            </w:r>
          </w:p>
        </w:tc>
        <w:tc>
          <w:tcPr>
            <w:tcW w:type="dxa" w:w="1584"/>
            <w:shd w:fill="F8F9FA"/>
            <w:tcMar>
              <w:top w:w="100" w:type="dxa"/>
              <w:bottom w:w="100" w:type="dxa"/>
              <w:left w:w="140" w:type="dxa"/>
              <w:right w:w="140" w:type="dxa"/>
            </w:tcMar>
          </w:tcPr>
          <w:p>
            <w:pPr>
              <w:jc w:val="left"/>
            </w:pPr>
            <w:r>
              <w:rPr>
                <w:rFonts w:ascii="Calibri" w:hAnsi="Calibri"/>
                <w:sz w:val="18"/>
              </w:rPr>
              <w:t>0.7500</w:t>
            </w:r>
          </w:p>
        </w:tc>
        <w:tc>
          <w:tcPr>
            <w:tcW w:type="dxa" w:w="1584"/>
            <w:shd w:fill="F8F9FA"/>
            <w:tcMar>
              <w:top w:w="100" w:type="dxa"/>
              <w:bottom w:w="100" w:type="dxa"/>
              <w:left w:w="140" w:type="dxa"/>
              <w:right w:w="140" w:type="dxa"/>
            </w:tcMar>
          </w:tcPr>
          <w:p>
            <w:pPr>
              <w:jc w:val="left"/>
            </w:pPr>
            <w:r>
              <w:rPr>
                <w:rFonts w:ascii="Calibri" w:hAnsi="Calibri"/>
                <w:sz w:val="18"/>
              </w:rPr>
              <w:t>0.3529</w:t>
            </w:r>
          </w:p>
        </w:tc>
        <w:tc>
          <w:tcPr>
            <w:tcW w:type="dxa" w:w="1584"/>
            <w:shd w:fill="F8F9FA"/>
            <w:tcMar>
              <w:top w:w="100" w:type="dxa"/>
              <w:bottom w:w="100" w:type="dxa"/>
              <w:left w:w="140" w:type="dxa"/>
              <w:right w:w="140" w:type="dxa"/>
            </w:tcMar>
          </w:tcPr>
          <w:p>
            <w:pPr>
              <w:jc w:val="left"/>
            </w:pPr>
            <w:r>
              <w:rPr>
                <w:rFonts w:ascii="Calibri" w:hAnsi="Calibri"/>
                <w:sz w:val="18"/>
              </w:rPr>
              <w:t>0.4800</w:t>
            </w:r>
          </w:p>
        </w:tc>
        <w:tc>
          <w:tcPr>
            <w:tcW w:type="dxa" w:w="1584"/>
            <w:shd w:fill="F8F9FA"/>
            <w:tcMar>
              <w:top w:w="100" w:type="dxa"/>
              <w:bottom w:w="100" w:type="dxa"/>
              <w:left w:w="140" w:type="dxa"/>
              <w:right w:w="140" w:type="dxa"/>
            </w:tcMar>
          </w:tcPr>
          <w:p>
            <w:pPr>
              <w:jc w:val="left"/>
            </w:pPr>
            <w:r>
              <w:rPr>
                <w:rFonts w:ascii="Calibri" w:hAnsi="Calibri"/>
                <w:sz w:val="18"/>
              </w:rPr>
              <w:t>High precision; flare persistence separation</w:t>
            </w:r>
          </w:p>
        </w:tc>
      </w:tr>
      <w:tr>
        <w:tc>
          <w:tcPr>
            <w:tcW w:type="dxa" w:w="1872"/>
            <w:shd w:fill="FFFFFF"/>
            <w:tcMar>
              <w:top w:w="100" w:type="dxa"/>
              <w:bottom w:w="100" w:type="dxa"/>
              <w:left w:w="140" w:type="dxa"/>
              <w:right w:w="140" w:type="dxa"/>
            </w:tcMar>
          </w:tcPr>
          <w:p>
            <w:pPr>
              <w:jc w:val="left"/>
            </w:pPr>
            <w:r>
              <w:rPr>
                <w:rFonts w:ascii="Calibri" w:hAnsi="Calibri"/>
                <w:sz w:val="18"/>
              </w:rPr>
              <w:t>Forest Fire</w:t>
            </w:r>
          </w:p>
        </w:tc>
        <w:tc>
          <w:tcPr>
            <w:tcW w:type="dxa" w:w="1584"/>
            <w:shd w:fill="FFFFFF"/>
            <w:tcMar>
              <w:top w:w="100" w:type="dxa"/>
              <w:bottom w:w="100" w:type="dxa"/>
              <w:left w:w="140" w:type="dxa"/>
              <w:right w:w="140" w:type="dxa"/>
            </w:tcMar>
          </w:tcPr>
          <w:p>
            <w:pPr>
              <w:jc w:val="left"/>
            </w:pPr>
            <w:r>
              <w:rPr>
                <w:rFonts w:ascii="Calibri" w:hAnsi="Calibri"/>
                <w:sz w:val="18"/>
              </w:rPr>
              <w:t>5</w:t>
            </w:r>
          </w:p>
        </w:tc>
        <w:tc>
          <w:tcPr>
            <w:tcW w:type="dxa" w:w="1584"/>
            <w:shd w:fill="FFFFFF"/>
            <w:tcMar>
              <w:top w:w="100" w:type="dxa"/>
              <w:bottom w:w="100" w:type="dxa"/>
              <w:left w:w="140" w:type="dxa"/>
              <w:right w:w="140" w:type="dxa"/>
            </w:tcMar>
          </w:tcPr>
          <w:p>
            <w:pPr>
              <w:jc w:val="left"/>
            </w:pPr>
            <w:r>
              <w:rPr>
                <w:rFonts w:ascii="Calibri" w:hAnsi="Calibri"/>
                <w:sz w:val="18"/>
              </w:rPr>
              <w:t>0.1786</w:t>
            </w:r>
          </w:p>
        </w:tc>
        <w:tc>
          <w:tcPr>
            <w:tcW w:type="dxa" w:w="1584"/>
            <w:shd w:fill="FFFFFF"/>
            <w:tcMar>
              <w:top w:w="100" w:type="dxa"/>
              <w:bottom w:w="100" w:type="dxa"/>
              <w:left w:w="140" w:type="dxa"/>
              <w:right w:w="140" w:type="dxa"/>
            </w:tcMar>
          </w:tcPr>
          <w:p>
            <w:pPr>
              <w:jc w:val="left"/>
            </w:pPr>
            <w:r>
              <w:rPr>
                <w:rFonts w:ascii="Calibri" w:hAnsi="Calibri"/>
                <w:sz w:val="18"/>
              </w:rPr>
              <w:t>1.0000</w:t>
            </w:r>
          </w:p>
        </w:tc>
        <w:tc>
          <w:tcPr>
            <w:tcW w:type="dxa" w:w="1584"/>
            <w:shd w:fill="FFFFFF"/>
            <w:tcMar>
              <w:top w:w="100" w:type="dxa"/>
              <w:bottom w:w="100" w:type="dxa"/>
              <w:left w:w="140" w:type="dxa"/>
              <w:right w:w="140" w:type="dxa"/>
            </w:tcMar>
          </w:tcPr>
          <w:p>
            <w:pPr>
              <w:jc w:val="left"/>
            </w:pPr>
            <w:r>
              <w:rPr>
                <w:rFonts w:ascii="Calibri" w:hAnsi="Calibri"/>
                <w:sz w:val="18"/>
              </w:rPr>
              <w:t>0.3030</w:t>
            </w:r>
          </w:p>
        </w:tc>
        <w:tc>
          <w:tcPr>
            <w:tcW w:type="dxa" w:w="1584"/>
            <w:shd w:fill="FFFFFF"/>
            <w:tcMar>
              <w:top w:w="100" w:type="dxa"/>
              <w:bottom w:w="100" w:type="dxa"/>
              <w:left w:w="140" w:type="dxa"/>
              <w:right w:w="140" w:type="dxa"/>
            </w:tcMar>
          </w:tcPr>
          <w:p>
            <w:pPr>
              <w:jc w:val="left"/>
            </w:pPr>
            <w:r>
              <w:rPr>
                <w:rFonts w:ascii="Calibri" w:hAnsi="Calibri"/>
                <w:sz w:val="18"/>
              </w:rPr>
              <w:t>Zero Missed Forest Fires (100% Recall)</w:t>
            </w:r>
          </w:p>
        </w:tc>
      </w:tr>
      <w:tr>
        <w:tc>
          <w:tcPr>
            <w:tcW w:type="dxa" w:w="1872"/>
            <w:shd w:fill="F8F9FA"/>
            <w:tcMar>
              <w:top w:w="100" w:type="dxa"/>
              <w:bottom w:w="100" w:type="dxa"/>
              <w:left w:w="140" w:type="dxa"/>
              <w:right w:w="140" w:type="dxa"/>
            </w:tcMar>
          </w:tcPr>
          <w:p>
            <w:pPr>
              <w:jc w:val="left"/>
            </w:pPr>
            <w:r>
              <w:rPr>
                <w:rFonts w:ascii="Calibri" w:hAnsi="Calibri"/>
                <w:sz w:val="18"/>
              </w:rPr>
              <w:t>Agricultural Burning</w:t>
            </w:r>
          </w:p>
        </w:tc>
        <w:tc>
          <w:tcPr>
            <w:tcW w:type="dxa" w:w="1584"/>
            <w:shd w:fill="F8F9FA"/>
            <w:tcMar>
              <w:top w:w="100" w:type="dxa"/>
              <w:bottom w:w="100" w:type="dxa"/>
              <w:left w:w="140" w:type="dxa"/>
              <w:right w:w="140" w:type="dxa"/>
            </w:tcMar>
          </w:tcPr>
          <w:p>
            <w:pPr>
              <w:jc w:val="left"/>
            </w:pPr>
            <w:r>
              <w:rPr>
                <w:rFonts w:ascii="Calibri" w:hAnsi="Calibri"/>
                <w:sz w:val="18"/>
              </w:rPr>
              <w:t>41</w:t>
            </w:r>
          </w:p>
        </w:tc>
        <w:tc>
          <w:tcPr>
            <w:tcW w:type="dxa" w:w="1584"/>
            <w:shd w:fill="F8F9FA"/>
            <w:tcMar>
              <w:top w:w="100" w:type="dxa"/>
              <w:bottom w:w="100" w:type="dxa"/>
              <w:left w:w="140" w:type="dxa"/>
              <w:right w:w="140" w:type="dxa"/>
            </w:tcMar>
          </w:tcPr>
          <w:p>
            <w:pPr>
              <w:jc w:val="left"/>
            </w:pPr>
            <w:r>
              <w:rPr>
                <w:rFonts w:ascii="Calibri" w:hAnsi="Calibri"/>
                <w:sz w:val="18"/>
              </w:rPr>
              <w:t>1.0000</w:t>
            </w:r>
          </w:p>
        </w:tc>
        <w:tc>
          <w:tcPr>
            <w:tcW w:type="dxa" w:w="1584"/>
            <w:shd w:fill="F8F9FA"/>
            <w:tcMar>
              <w:top w:w="100" w:type="dxa"/>
              <w:bottom w:w="100" w:type="dxa"/>
              <w:left w:w="140" w:type="dxa"/>
              <w:right w:w="140" w:type="dxa"/>
            </w:tcMar>
          </w:tcPr>
          <w:p>
            <w:pPr>
              <w:jc w:val="left"/>
            </w:pPr>
            <w:r>
              <w:rPr>
                <w:rFonts w:ascii="Calibri" w:hAnsi="Calibri"/>
                <w:sz w:val="18"/>
              </w:rPr>
              <w:t>0.9756</w:t>
            </w:r>
          </w:p>
        </w:tc>
        <w:tc>
          <w:tcPr>
            <w:tcW w:type="dxa" w:w="1584"/>
            <w:shd w:fill="F8F9FA"/>
            <w:tcMar>
              <w:top w:w="100" w:type="dxa"/>
              <w:bottom w:w="100" w:type="dxa"/>
              <w:left w:w="140" w:type="dxa"/>
              <w:right w:w="140" w:type="dxa"/>
            </w:tcMar>
          </w:tcPr>
          <w:p>
            <w:pPr>
              <w:jc w:val="left"/>
            </w:pPr>
            <w:r>
              <w:rPr>
                <w:rFonts w:ascii="Calibri" w:hAnsi="Calibri"/>
                <w:sz w:val="18"/>
              </w:rPr>
              <w:t>0.9877</w:t>
            </w:r>
          </w:p>
        </w:tc>
        <w:tc>
          <w:tcPr>
            <w:tcW w:type="dxa" w:w="1584"/>
            <w:shd w:fill="F8F9FA"/>
            <w:tcMar>
              <w:top w:w="100" w:type="dxa"/>
              <w:bottom w:w="100" w:type="dxa"/>
              <w:left w:w="140" w:type="dxa"/>
              <w:right w:w="140" w:type="dxa"/>
            </w:tcMar>
          </w:tcPr>
          <w:p>
            <w:pPr>
              <w:jc w:val="left"/>
            </w:pPr>
            <w:r>
              <w:rPr>
                <w:rFonts w:ascii="Calibri" w:hAnsi="Calibri"/>
                <w:sz w:val="18"/>
              </w:rPr>
              <w:t>Near-perfect crop burning isolation</w:t>
            </w:r>
          </w:p>
        </w:tc>
      </w:tr>
      <w:tr>
        <w:tc>
          <w:tcPr>
            <w:tcW w:type="dxa" w:w="1872"/>
            <w:shd w:fill="FFFFFF"/>
            <w:tcMar>
              <w:top w:w="100" w:type="dxa"/>
              <w:bottom w:w="100" w:type="dxa"/>
              <w:left w:w="140" w:type="dxa"/>
              <w:right w:w="140" w:type="dxa"/>
            </w:tcMar>
          </w:tcPr>
          <w:p>
            <w:pPr>
              <w:jc w:val="left"/>
            </w:pPr>
            <w:r>
              <w:rPr>
                <w:rFonts w:ascii="Calibri" w:hAnsi="Calibri"/>
                <w:sz w:val="18"/>
              </w:rPr>
              <w:t>Mining Activity</w:t>
            </w:r>
          </w:p>
        </w:tc>
        <w:tc>
          <w:tcPr>
            <w:tcW w:type="dxa" w:w="1584"/>
            <w:shd w:fill="FFFFFF"/>
            <w:tcMar>
              <w:top w:w="100" w:type="dxa"/>
              <w:bottom w:w="100" w:type="dxa"/>
              <w:left w:w="140" w:type="dxa"/>
              <w:right w:w="140" w:type="dxa"/>
            </w:tcMar>
          </w:tcPr>
          <w:p>
            <w:pPr>
              <w:jc w:val="left"/>
            </w:pPr>
            <w:r>
              <w:rPr>
                <w:rFonts w:ascii="Calibri" w:hAnsi="Calibri"/>
                <w:sz w:val="18"/>
              </w:rPr>
              <w:t>16</w:t>
            </w:r>
          </w:p>
        </w:tc>
        <w:tc>
          <w:tcPr>
            <w:tcW w:type="dxa" w:w="1584"/>
            <w:shd w:fill="FFFFFF"/>
            <w:tcMar>
              <w:top w:w="100" w:type="dxa"/>
              <w:bottom w:w="100" w:type="dxa"/>
              <w:left w:w="140" w:type="dxa"/>
              <w:right w:w="140" w:type="dxa"/>
            </w:tcMar>
          </w:tcPr>
          <w:p>
            <w:pPr>
              <w:jc w:val="left"/>
            </w:pPr>
            <w:r>
              <w:rPr>
                <w:rFonts w:ascii="Calibri" w:hAnsi="Calibri"/>
                <w:sz w:val="18"/>
              </w:rPr>
              <w:t>0.7692</w:t>
            </w:r>
          </w:p>
        </w:tc>
        <w:tc>
          <w:tcPr>
            <w:tcW w:type="dxa" w:w="1584"/>
            <w:shd w:fill="FFFFFF"/>
            <w:tcMar>
              <w:top w:w="100" w:type="dxa"/>
              <w:bottom w:w="100" w:type="dxa"/>
              <w:left w:w="140" w:type="dxa"/>
              <w:right w:w="140" w:type="dxa"/>
            </w:tcMar>
          </w:tcPr>
          <w:p>
            <w:pPr>
              <w:jc w:val="left"/>
            </w:pPr>
            <w:r>
              <w:rPr>
                <w:rFonts w:ascii="Calibri" w:hAnsi="Calibri"/>
                <w:sz w:val="18"/>
              </w:rPr>
              <w:t>0.6250</w:t>
            </w:r>
          </w:p>
        </w:tc>
        <w:tc>
          <w:tcPr>
            <w:tcW w:type="dxa" w:w="1584"/>
            <w:shd w:fill="FFFFFF"/>
            <w:tcMar>
              <w:top w:w="100" w:type="dxa"/>
              <w:bottom w:w="100" w:type="dxa"/>
              <w:left w:w="140" w:type="dxa"/>
              <w:right w:w="140" w:type="dxa"/>
            </w:tcMar>
          </w:tcPr>
          <w:p>
            <w:pPr>
              <w:jc w:val="left"/>
            </w:pPr>
            <w:r>
              <w:rPr>
                <w:rFonts w:ascii="Calibri" w:hAnsi="Calibri"/>
                <w:sz w:val="18"/>
              </w:rPr>
              <w:t>0.6897</w:t>
            </w:r>
          </w:p>
        </w:tc>
        <w:tc>
          <w:tcPr>
            <w:tcW w:type="dxa" w:w="1584"/>
            <w:shd w:fill="FFFFFF"/>
            <w:tcMar>
              <w:top w:w="100" w:type="dxa"/>
              <w:bottom w:w="100" w:type="dxa"/>
              <w:left w:w="140" w:type="dxa"/>
              <w:right w:w="140" w:type="dxa"/>
            </w:tcMar>
          </w:tcPr>
          <w:p>
            <w:pPr>
              <w:jc w:val="left"/>
            </w:pPr>
            <w:r>
              <w:rPr>
                <w:rFonts w:ascii="Calibri" w:hAnsi="Calibri"/>
                <w:sz w:val="18"/>
              </w:rPr>
              <w:t>Strong detection in mineral lease zones</w:t>
            </w:r>
          </w:p>
        </w:tc>
      </w:tr>
      <w:tr>
        <w:tc>
          <w:tcPr>
            <w:tcW w:type="dxa" w:w="1872"/>
            <w:shd w:fill="F8F9FA"/>
            <w:tcMar>
              <w:top w:w="100" w:type="dxa"/>
              <w:bottom w:w="100" w:type="dxa"/>
              <w:left w:w="140" w:type="dxa"/>
              <w:right w:w="140" w:type="dxa"/>
            </w:tcMar>
          </w:tcPr>
          <w:p>
            <w:pPr>
              <w:jc w:val="left"/>
            </w:pPr>
            <w:r>
              <w:rPr>
                <w:rFonts w:ascii="Calibri" w:hAnsi="Calibri"/>
                <w:sz w:val="18"/>
              </w:rPr>
              <w:t>Other Thermal Source</w:t>
            </w:r>
          </w:p>
        </w:tc>
        <w:tc>
          <w:tcPr>
            <w:tcW w:type="dxa" w:w="1584"/>
            <w:shd w:fill="F8F9FA"/>
            <w:tcMar>
              <w:top w:w="100" w:type="dxa"/>
              <w:bottom w:w="100" w:type="dxa"/>
              <w:left w:w="140" w:type="dxa"/>
              <w:right w:w="140" w:type="dxa"/>
            </w:tcMar>
          </w:tcPr>
          <w:p>
            <w:pPr>
              <w:jc w:val="left"/>
            </w:pPr>
            <w:r>
              <w:rPr>
                <w:rFonts w:ascii="Calibri" w:hAnsi="Calibri"/>
                <w:sz w:val="18"/>
              </w:rPr>
              <w:t>50</w:t>
            </w:r>
          </w:p>
        </w:tc>
        <w:tc>
          <w:tcPr>
            <w:tcW w:type="dxa" w:w="1584"/>
            <w:shd w:fill="F8F9FA"/>
            <w:tcMar>
              <w:top w:w="100" w:type="dxa"/>
              <w:bottom w:w="100" w:type="dxa"/>
              <w:left w:w="140" w:type="dxa"/>
              <w:right w:w="140" w:type="dxa"/>
            </w:tcMar>
          </w:tcPr>
          <w:p>
            <w:pPr>
              <w:jc w:val="left"/>
            </w:pPr>
            <w:r>
              <w:rPr>
                <w:rFonts w:ascii="Calibri" w:hAnsi="Calibri"/>
                <w:sz w:val="18"/>
              </w:rPr>
              <w:t>0.9630</w:t>
            </w:r>
          </w:p>
        </w:tc>
        <w:tc>
          <w:tcPr>
            <w:tcW w:type="dxa" w:w="1584"/>
            <w:shd w:fill="F8F9FA"/>
            <w:tcMar>
              <w:top w:w="100" w:type="dxa"/>
              <w:bottom w:w="100" w:type="dxa"/>
              <w:left w:w="140" w:type="dxa"/>
              <w:right w:w="140" w:type="dxa"/>
            </w:tcMar>
          </w:tcPr>
          <w:p>
            <w:pPr>
              <w:jc w:val="left"/>
            </w:pPr>
            <w:r>
              <w:rPr>
                <w:rFonts w:ascii="Calibri" w:hAnsi="Calibri"/>
                <w:sz w:val="18"/>
              </w:rPr>
              <w:t>0.5200</w:t>
            </w:r>
          </w:p>
        </w:tc>
        <w:tc>
          <w:tcPr>
            <w:tcW w:type="dxa" w:w="1584"/>
            <w:shd w:fill="F8F9FA"/>
            <w:tcMar>
              <w:top w:w="100" w:type="dxa"/>
              <w:bottom w:w="100" w:type="dxa"/>
              <w:left w:w="140" w:type="dxa"/>
              <w:right w:w="140" w:type="dxa"/>
            </w:tcMar>
          </w:tcPr>
          <w:p>
            <w:pPr>
              <w:jc w:val="left"/>
            </w:pPr>
            <w:r>
              <w:rPr>
                <w:rFonts w:ascii="Calibri" w:hAnsi="Calibri"/>
                <w:sz w:val="18"/>
              </w:rPr>
              <w:t>0.6753</w:t>
            </w:r>
          </w:p>
        </w:tc>
        <w:tc>
          <w:tcPr>
            <w:tcW w:type="dxa" w:w="1584"/>
            <w:shd w:fill="F8F9FA"/>
            <w:tcMar>
              <w:top w:w="100" w:type="dxa"/>
              <w:bottom w:w="100" w:type="dxa"/>
              <w:left w:w="140" w:type="dxa"/>
              <w:right w:w="140" w:type="dxa"/>
            </w:tcMar>
          </w:tcPr>
          <w:p>
            <w:pPr>
              <w:jc w:val="left"/>
            </w:pPr>
            <w:r>
              <w:rPr>
                <w:rFonts w:ascii="Calibri" w:hAnsi="Calibri"/>
                <w:sz w:val="18"/>
              </w:rPr>
              <w:t>Background rejection</w:t>
            </w:r>
          </w:p>
        </w:tc>
      </w:tr>
      <w:tr>
        <w:tc>
          <w:tcPr>
            <w:tcW w:type="dxa" w:w="1872"/>
            <w:shd w:fill="FFFFFF"/>
            <w:tcMar>
              <w:top w:w="100" w:type="dxa"/>
              <w:bottom w:w="100" w:type="dxa"/>
              <w:left w:w="140" w:type="dxa"/>
              <w:right w:w="140" w:type="dxa"/>
            </w:tcMar>
          </w:tcPr>
          <w:p>
            <w:pPr>
              <w:jc w:val="left"/>
            </w:pPr>
            <w:r>
              <w:rPr>
                <w:rFonts w:ascii="Calibri" w:hAnsi="Calibri"/>
                <w:sz w:val="18"/>
              </w:rPr>
              <w:t>Macro Average</w:t>
            </w:r>
          </w:p>
        </w:tc>
        <w:tc>
          <w:tcPr>
            <w:tcW w:type="dxa" w:w="1584"/>
            <w:shd w:fill="FFFFFF"/>
            <w:tcMar>
              <w:top w:w="100" w:type="dxa"/>
              <w:bottom w:w="100" w:type="dxa"/>
              <w:left w:w="140" w:type="dxa"/>
              <w:right w:w="140" w:type="dxa"/>
            </w:tcMar>
          </w:tcPr>
          <w:p>
            <w:pPr>
              <w:jc w:val="left"/>
            </w:pPr>
            <w:r>
              <w:rPr>
                <w:rFonts w:ascii="Calibri" w:hAnsi="Calibri"/>
                <w:sz w:val="18"/>
              </w:rPr>
              <w:t>176</w:t>
            </w:r>
          </w:p>
        </w:tc>
        <w:tc>
          <w:tcPr>
            <w:tcW w:type="dxa" w:w="1584"/>
            <w:shd w:fill="FFFFFF"/>
            <w:tcMar>
              <w:top w:w="100" w:type="dxa"/>
              <w:bottom w:w="100" w:type="dxa"/>
              <w:left w:w="140" w:type="dxa"/>
              <w:right w:w="140" w:type="dxa"/>
            </w:tcMar>
          </w:tcPr>
          <w:p>
            <w:pPr>
              <w:jc w:val="left"/>
            </w:pPr>
            <w:r>
              <w:rPr>
                <w:rFonts w:ascii="Calibri" w:hAnsi="Calibri"/>
                <w:sz w:val="18"/>
              </w:rPr>
              <w:t>0.7063</w:t>
            </w:r>
          </w:p>
        </w:tc>
        <w:tc>
          <w:tcPr>
            <w:tcW w:type="dxa" w:w="1584"/>
            <w:shd w:fill="FFFFFF"/>
            <w:tcMar>
              <w:top w:w="100" w:type="dxa"/>
              <w:bottom w:w="100" w:type="dxa"/>
              <w:left w:w="140" w:type="dxa"/>
              <w:right w:w="140" w:type="dxa"/>
            </w:tcMar>
          </w:tcPr>
          <w:p>
            <w:pPr>
              <w:jc w:val="left"/>
            </w:pPr>
            <w:r>
              <w:rPr>
                <w:rFonts w:ascii="Calibri" w:hAnsi="Calibri"/>
                <w:sz w:val="18"/>
              </w:rPr>
              <w:t>0.7456</w:t>
            </w:r>
          </w:p>
        </w:tc>
        <w:tc>
          <w:tcPr>
            <w:tcW w:type="dxa" w:w="1584"/>
            <w:shd w:fill="FFFFFF"/>
            <w:tcMar>
              <w:top w:w="100" w:type="dxa"/>
              <w:bottom w:w="100" w:type="dxa"/>
              <w:left w:w="140" w:type="dxa"/>
              <w:right w:w="140" w:type="dxa"/>
            </w:tcMar>
          </w:tcPr>
          <w:p>
            <w:pPr>
              <w:jc w:val="left"/>
            </w:pPr>
            <w:r>
              <w:rPr>
                <w:rFonts w:ascii="Calibri" w:hAnsi="Calibri"/>
                <w:sz w:val="18"/>
              </w:rPr>
              <w:t>0.6446</w:t>
            </w:r>
          </w:p>
        </w:tc>
        <w:tc>
          <w:tcPr>
            <w:tcW w:type="dxa" w:w="1584"/>
            <w:shd w:fill="FFFFFF"/>
            <w:tcMar>
              <w:top w:w="100" w:type="dxa"/>
              <w:bottom w:w="100" w:type="dxa"/>
              <w:left w:w="140" w:type="dxa"/>
              <w:right w:w="140" w:type="dxa"/>
            </w:tcMar>
          </w:tcPr>
          <w:p>
            <w:pPr>
              <w:jc w:val="left"/>
            </w:pPr>
            <w:r>
              <w:rPr>
                <w:rFonts w:ascii="Calibri" w:hAnsi="Calibri"/>
                <w:sz w:val="18"/>
              </w:rPr>
              <w:t>Balanced Subcontinental Performance</w:t>
            </w:r>
          </w:p>
        </w:tc>
      </w:tr>
      <w:tr>
        <w:tc>
          <w:tcPr>
            <w:tcW w:type="dxa" w:w="1872"/>
            <w:shd w:fill="F8F9FA"/>
            <w:tcMar>
              <w:top w:w="100" w:type="dxa"/>
              <w:bottom w:w="100" w:type="dxa"/>
              <w:left w:w="140" w:type="dxa"/>
              <w:right w:w="140" w:type="dxa"/>
            </w:tcMar>
          </w:tcPr>
          <w:p>
            <w:pPr>
              <w:jc w:val="left"/>
            </w:pPr>
            <w:r>
              <w:rPr>
                <w:rFonts w:ascii="Calibri" w:hAnsi="Calibri"/>
                <w:sz w:val="18"/>
              </w:rPr>
              <w:t>Weighted Average</w:t>
            </w:r>
          </w:p>
        </w:tc>
        <w:tc>
          <w:tcPr>
            <w:tcW w:type="dxa" w:w="1584"/>
            <w:shd w:fill="F8F9FA"/>
            <w:tcMar>
              <w:top w:w="100" w:type="dxa"/>
              <w:bottom w:w="100" w:type="dxa"/>
              <w:left w:w="140" w:type="dxa"/>
              <w:right w:w="140" w:type="dxa"/>
            </w:tcMar>
          </w:tcPr>
          <w:p>
            <w:pPr>
              <w:jc w:val="left"/>
            </w:pPr>
            <w:r>
              <w:rPr>
                <w:rFonts w:ascii="Calibri" w:hAnsi="Calibri"/>
                <w:sz w:val="18"/>
              </w:rPr>
              <w:t>176</w:t>
            </w:r>
          </w:p>
        </w:tc>
        <w:tc>
          <w:tcPr>
            <w:tcW w:type="dxa" w:w="1584"/>
            <w:shd w:fill="F8F9FA"/>
            <w:tcMar>
              <w:top w:w="100" w:type="dxa"/>
              <w:bottom w:w="100" w:type="dxa"/>
              <w:left w:w="140" w:type="dxa"/>
              <w:right w:w="140" w:type="dxa"/>
            </w:tcMar>
          </w:tcPr>
          <w:p>
            <w:pPr>
              <w:jc w:val="left"/>
            </w:pPr>
            <w:r>
              <w:rPr>
                <w:rFonts w:ascii="Calibri" w:hAnsi="Calibri"/>
                <w:sz w:val="18"/>
              </w:rPr>
              <w:t>0.8248</w:t>
            </w:r>
          </w:p>
        </w:tc>
        <w:tc>
          <w:tcPr>
            <w:tcW w:type="dxa" w:w="1584"/>
            <w:shd w:fill="F8F9FA"/>
            <w:tcMar>
              <w:top w:w="100" w:type="dxa"/>
              <w:bottom w:w="100" w:type="dxa"/>
              <w:left w:w="140" w:type="dxa"/>
              <w:right w:w="140" w:type="dxa"/>
            </w:tcMar>
          </w:tcPr>
          <w:p>
            <w:pPr>
              <w:jc w:val="left"/>
            </w:pPr>
            <w:r>
              <w:rPr>
                <w:rFonts w:ascii="Calibri" w:hAnsi="Calibri"/>
                <w:sz w:val="18"/>
              </w:rPr>
              <w:t>0.6989</w:t>
            </w:r>
          </w:p>
        </w:tc>
        <w:tc>
          <w:tcPr>
            <w:tcW w:type="dxa" w:w="1584"/>
            <w:shd w:fill="F8F9FA"/>
            <w:tcMar>
              <w:top w:w="100" w:type="dxa"/>
              <w:bottom w:w="100" w:type="dxa"/>
              <w:left w:w="140" w:type="dxa"/>
              <w:right w:w="140" w:type="dxa"/>
            </w:tcMar>
          </w:tcPr>
          <w:p>
            <w:pPr>
              <w:jc w:val="left"/>
            </w:pPr>
            <w:r>
              <w:rPr>
                <w:rFonts w:ascii="Calibri" w:hAnsi="Calibri"/>
                <w:sz w:val="18"/>
              </w:rPr>
              <w:t>0.7107</w:t>
            </w:r>
          </w:p>
        </w:tc>
        <w:tc>
          <w:tcPr>
            <w:tcW w:type="dxa" w:w="1584"/>
            <w:shd w:fill="F8F9FA"/>
            <w:tcMar>
              <w:top w:w="100" w:type="dxa"/>
              <w:bottom w:w="100" w:type="dxa"/>
              <w:left w:w="140" w:type="dxa"/>
              <w:right w:w="140" w:type="dxa"/>
            </w:tcMar>
          </w:tcPr>
          <w:p>
            <w:pPr>
              <w:jc w:val="left"/>
            </w:pPr>
            <w:r>
              <w:rPr>
                <w:rFonts w:ascii="Calibri" w:hAnsi="Calibri"/>
                <w:sz w:val="18"/>
              </w:rPr>
              <w:t>Overall Stream Efficiency</w:t>
            </w:r>
          </w:p>
        </w:tc>
      </w:tr>
    </w:tbl>
    <w:p>
      <w:pPr>
        <w:spacing w:after="160"/>
      </w:pPr>
    </w:p>
    <w:tbl>
      <w:tblPr>
        <w:tblW w:type="auto" w:w="0"/>
        <w:jc w:val="center"/>
        <w:tblLook w:firstColumn="1" w:firstRow="1" w:lastColumn="0" w:lastRow="0" w:noHBand="0" w:noVBand="1" w:val="04A0"/>
      </w:tblPr>
      <w:tblGrid>
        <w:gridCol w:w="9936"/>
      </w:tblGrid>
      <w:tr>
        <w:tc>
          <w:tcPr>
            <w:tcW w:type="dxa" w:w="9936"/>
            <w:shd w:fill="EBF3FA"/>
            <w:tcMar>
              <w:top w:w="140" w:type="dxa"/>
              <w:bottom w:w="140" w:type="dxa"/>
              <w:left w:w="200" w:type="dxa"/>
              <w:right w:w="200" w:type="dxa"/>
            </w:tcMar>
            <w:tcBorders>
              <w:top w:val="none"/>
              <w:left w:val="single" w:sz="36" w:space="0" w:color="003366"/>
              <w:bottom w:val="none"/>
              <w:right w:val="none"/>
            </w:tcBorders>
          </w:tcPr>
          <w:p>
            <w:pPr>
              <w:spacing w:before="40" w:after="40"/>
            </w:pPr>
            <w:r>
              <w:rPr>
                <w:b/>
                <w:color w:val="003366"/>
              </w:rPr>
              <w:t xml:space="preserve">[KEY FINDING] </w:t>
            </w:r>
            <w:r>
              <w:rPr>
                <w:sz w:val="20"/>
              </w:rPr>
              <w:t>The model achieved **100% Recall on Industrial Fires and Forest Fires**, ensuring zero dangerous uncontrolled blazes are silently overlooked.</w:t>
            </w:r>
          </w:p>
        </w:tc>
      </w:tr>
    </w:tbl>
    <w:p>
      <w:pPr>
        <w:spacing w:after="120"/>
      </w:pPr>
    </w:p>
    <w:p>
      <w:pPr>
        <w:pStyle w:val="Heading1"/>
        <w:spacing w:before="360" w:after="160"/>
      </w:pPr>
      <w:r>
        <w:t>26. System Verification and Testing</w:t>
      </w:r>
    </w:p>
    <w:p>
      <w:pPr>
        <w:spacing w:after="120" w:line="276" w:lineRule="auto"/>
      </w:pPr>
      <w:r>
        <w:rPr>
          <w:sz w:val="21"/>
        </w:rPr>
        <w:t>AGNI-NETRA was subjected to comprehensive test automation across 18 distinct verification domains:</w:t>
      </w:r>
    </w:p>
    <w:p>
      <w:pPr>
        <w:spacing w:after="120" w:line="276" w:lineRule="auto"/>
      </w:pPr>
      <w:r>
        <w:rPr>
          <w:sz w:val="21"/>
        </w:rPr>
        <w:t>[ Automated Testing &amp; Quality Assurance Suite ]</w:t>
      </w:r>
    </w:p>
    <w:p>
      <w:pPr>
        <w:spacing w:after="120" w:line="276" w:lineRule="auto"/>
      </w:pPr>
      <w:r>
        <w:rPr>
          <w:sz w:val="21"/>
        </w:rPr>
        <w:t>├── Unit &amp; Property Tests: PostGIS Geodesic Formulas, Risk Math, Anti-Leakage Constraints</w:t>
      </w:r>
    </w:p>
    <w:p>
      <w:pPr>
        <w:spacing w:after="120" w:line="276" w:lineRule="auto"/>
      </w:pPr>
      <w:r>
        <w:rPr>
          <w:sz w:val="21"/>
        </w:rPr>
        <w:t>├── Integration Tests (pytest tests/test_frontend_gis_integration.py): 12/12 PASSED (100%)</w:t>
      </w:r>
    </w:p>
    <w:p>
      <w:pPr>
        <w:spacing w:after="120" w:line="276" w:lineRule="auto"/>
      </w:pPr>
      <w:r>
        <w:rPr>
          <w:sz w:val="21"/>
        </w:rPr>
        <w:t>├── Spatial BBox Performance Benchmarks: Sub-100ms PostGIS queries across Western, Central, Southern India</w:t>
      </w:r>
    </w:p>
    <w:p>
      <w:pPr>
        <w:spacing w:after="120" w:line="276" w:lineRule="auto"/>
      </w:pPr>
      <w:r>
        <w:rPr>
          <w:sz w:val="21"/>
        </w:rPr>
        <w:t>├── Next.js Production Compilation (npm run build): 28/28 static &amp; dynamic routes compiled (0 errors)</w:t>
      </w:r>
    </w:p>
    <w:p>
      <w:pPr>
        <w:spacing w:after="120" w:line="276" w:lineRule="auto"/>
      </w:pPr>
      <w:r>
        <w:rPr>
          <w:sz w:val="21"/>
        </w:rPr>
        <w:t>├── Historical Partition Immutability Audit: 6,448,666 sealed records verified (0 discrepancy)</w:t>
      </w:r>
    </w:p>
    <w:p>
      <w:pPr>
        <w:spacing w:after="120" w:line="276" w:lineRule="auto"/>
      </w:pPr>
      <w:r>
        <w:rPr>
          <w:sz w:val="21"/>
        </w:rPr>
        <w:t>├── Dispatch Gate Security Audit: ENABLE_OPERATIONAL_DISPATCH_GATE = False verified (0 live leaks)</w:t>
      </w:r>
    </w:p>
    <w:p>
      <w:pPr>
        <w:spacing w:after="120" w:line="276" w:lineRule="auto"/>
      </w:pPr>
      <w:r>
        <w:rPr>
          <w:sz w:val="21"/>
        </w:rPr>
        <w:t>└── Disaster Recovery Restore Test: 100% schema, table, and row restoration verified</w:t>
      </w:r>
    </w:p>
    <w:p>
      <w:pPr>
        <w:pStyle w:val="Heading1"/>
        <w:spacing w:before="360" w:after="160"/>
      </w:pPr>
      <w:r>
        <w:t>27. End-to-End Operational Workflow</w:t>
      </w:r>
    </w:p>
    <w:p>
      <w:pPr>
        <w:spacing w:after="120" w:line="276" w:lineRule="auto"/>
      </w:pPr>
      <w:r>
        <w:rPr>
          <w:sz w:val="21"/>
        </w:rPr>
        <w:t>The complete operational flow from satellite pass to analyst closure is summarized below:</w:t>
      </w:r>
    </w:p>
    <w:p>
      <w:pPr>
        <w:spacing w:after="120" w:line="276" w:lineRule="auto"/>
      </w:pPr>
      <w:r>
        <w:rPr>
          <w:sz w:val="21"/>
        </w:rPr>
        <w:t>[1] Satellite Overpass (VIIRS / MODIS)</w:t>
      </w:r>
    </w:p>
    <w:p>
      <w:pPr>
        <w:spacing w:after="120" w:line="276" w:lineRule="auto"/>
      </w:pPr>
      <w:r>
        <w:rPr>
          <w:sz w:val="21"/>
        </w:rPr>
        <w:t>│ (Radiative heat detected at 375m / 1km resolution)</w:t>
      </w:r>
    </w:p>
    <w:p>
      <w:pPr>
        <w:spacing w:after="120" w:line="276" w:lineRule="auto"/>
      </w:pPr>
      <w:r>
        <w:rPr>
          <w:sz w:val="21"/>
        </w:rPr>
        <w:t>▼</w:t>
      </w:r>
    </w:p>
    <w:p>
      <w:pPr>
        <w:spacing w:after="120" w:line="276" w:lineRule="auto"/>
      </w:pPr>
      <w:r>
        <w:rPr>
          <w:sz w:val="21"/>
        </w:rPr>
        <w:t>[2] NASA FIRMS API Polling (Every 15 minutes)</w:t>
      </w:r>
    </w:p>
    <w:p>
      <w:pPr>
        <w:spacing w:after="120" w:line="276" w:lineRule="auto"/>
      </w:pPr>
      <w:r>
        <w:rPr>
          <w:sz w:val="21"/>
        </w:rPr>
        <w:t>│ (Validated, deduplicated, written to PostgreSQL / PostGIS)</w:t>
      </w:r>
    </w:p>
    <w:p>
      <w:pPr>
        <w:spacing w:after="120" w:line="276" w:lineRule="auto"/>
      </w:pPr>
      <w:r>
        <w:rPr>
          <w:sz w:val="21"/>
        </w:rPr>
        <w:t>▼</w:t>
      </w:r>
    </w:p>
    <w:p>
      <w:pPr>
        <w:spacing w:after="120" w:line="276" w:lineRule="auto"/>
      </w:pPr>
      <w:r>
        <w:rPr>
          <w:sz w:val="21"/>
        </w:rPr>
        <w:t>[3] Incremental DBSCAN Event Clustering</w:t>
      </w:r>
    </w:p>
    <w:p>
      <w:pPr>
        <w:spacing w:after="120" w:line="276" w:lineRule="auto"/>
      </w:pPr>
      <w:r>
        <w:rPr>
          <w:sz w:val="21"/>
        </w:rPr>
        <w:t>│ (Grouped into spatiotemporal event E_j with centroid and FRP stats)</w:t>
      </w:r>
    </w:p>
    <w:p>
      <w:pPr>
        <w:spacing w:after="120" w:line="276" w:lineRule="auto"/>
      </w:pPr>
      <w:r>
        <w:rPr>
          <w:sz w:val="21"/>
        </w:rPr>
        <w:t>▼</w:t>
      </w:r>
    </w:p>
    <w:p>
      <w:pPr>
        <w:spacing w:after="120" w:line="276" w:lineRule="auto"/>
      </w:pPr>
      <w:r>
        <w:rPr>
          <w:sz w:val="21"/>
        </w:rPr>
        <w:t>[4] 26-Feature Point-in-Time Generation (t_obs &lt; t_event)</w:t>
      </w:r>
    </w:p>
    <w:p>
      <w:pPr>
        <w:spacing w:after="120" w:line="276" w:lineRule="auto"/>
      </w:pPr>
      <w:r>
        <w:rPr>
          <w:sz w:val="21"/>
        </w:rPr>
        <w:t>│ (Proximity to OSM plants, CEA stations, IBM mines, FSI forests, Bhuvan LULC)</w:t>
      </w:r>
    </w:p>
    <w:p>
      <w:pPr>
        <w:spacing w:after="120" w:line="276" w:lineRule="auto"/>
      </w:pPr>
      <w:r>
        <w:rPr>
          <w:sz w:val="21"/>
        </w:rPr>
        <w:t>▼</w:t>
      </w:r>
    </w:p>
    <w:p>
      <w:pPr>
        <w:spacing w:after="120" w:line="276" w:lineRule="auto"/>
      </w:pPr>
      <w:r>
        <w:rPr>
          <w:sz w:val="21"/>
        </w:rPr>
        <w:t>[5] XGBoost Inference + Balanced Platt Probability Calibration</w:t>
      </w:r>
    </w:p>
    <w:p>
      <w:pPr>
        <w:spacing w:after="120" w:line="276" w:lineRule="auto"/>
      </w:pPr>
      <w:r>
        <w:rPr>
          <w:sz w:val="21"/>
        </w:rPr>
        <w:t>│ (Source classified; uncalibrated overconfidence eliminated)</w:t>
      </w:r>
    </w:p>
    <w:p>
      <w:pPr>
        <w:spacing w:after="120" w:line="276" w:lineRule="auto"/>
      </w:pPr>
      <w:r>
        <w:rPr>
          <w:sz w:val="21"/>
        </w:rPr>
        <w:t>▼</w:t>
      </w:r>
    </w:p>
    <w:p>
      <w:pPr>
        <w:spacing w:after="120" w:line="276" w:lineRule="auto"/>
      </w:pPr>
      <w:r>
        <w:rPr>
          <w:sz w:val="21"/>
        </w:rPr>
        <w:t>[6] TreeExplainer SHAP Attribution + Multi-Factor Fire Risk Scoring</w:t>
      </w:r>
    </w:p>
    <w:p>
      <w:pPr>
        <w:spacing w:after="120" w:line="276" w:lineRule="auto"/>
      </w:pPr>
      <w:r>
        <w:rPr>
          <w:sz w:val="21"/>
        </w:rPr>
        <w:t>│ (Feature attributions computed; 0-100 composite risk calculated)</w:t>
      </w:r>
    </w:p>
    <w:p>
      <w:pPr>
        <w:spacing w:after="120" w:line="276" w:lineRule="auto"/>
      </w:pPr>
      <w:r>
        <w:rPr>
          <w:sz w:val="21"/>
        </w:rPr>
        <w:t>▼</w:t>
      </w:r>
    </w:p>
    <w:p>
      <w:pPr>
        <w:spacing w:after="120" w:line="276" w:lineRule="auto"/>
      </w:pPr>
      <w:r>
        <w:rPr>
          <w:sz w:val="21"/>
        </w:rPr>
        <w:t>[7] Tri-Tier Human-in-the-Loop Routing Policy</w:t>
      </w:r>
    </w:p>
    <w:p>
      <w:pPr>
        <w:spacing w:after="120" w:line="276" w:lineRule="auto"/>
      </w:pPr>
      <w:r>
        <w:rPr>
          <w:sz w:val="21"/>
        </w:rPr>
        <w:t>├── Tier 1 (Conf &gt;= 0.85): Autonomous Classification &amp; Logging (97.18% Acc)</w:t>
      </w:r>
    </w:p>
    <w:p>
      <w:pPr>
        <w:spacing w:after="120" w:line="276" w:lineRule="auto"/>
      </w:pPr>
      <w:r>
        <w:rPr>
          <w:sz w:val="21"/>
        </w:rPr>
        <w:t>├── Tier 2 (0.60 &lt;= Conf &lt; 0.85): Routed to Analyst Command Center Queue</w:t>
      </w:r>
    </w:p>
    <w:p>
      <w:pPr>
        <w:spacing w:after="120" w:line="276" w:lineRule="auto"/>
      </w:pPr>
      <w:r>
        <w:rPr>
          <w:sz w:val="21"/>
        </w:rPr>
        <w:t>└── Tier 3 (Conf &lt; 0.60): Routed to Uncertainty / Active Learning Desk</w:t>
      </w:r>
    </w:p>
    <w:p>
      <w:pPr>
        <w:spacing w:after="120" w:line="276" w:lineRule="auto"/>
      </w:pPr>
      <w:r>
        <w:rPr>
          <w:sz w:val="21"/>
        </w:rPr>
        <w:t>▼</w:t>
      </w:r>
    </w:p>
    <w:p>
      <w:pPr>
        <w:spacing w:after="120" w:line="276" w:lineRule="auto"/>
      </w:pPr>
      <w:r>
        <w:rPr>
          <w:sz w:val="21"/>
        </w:rPr>
        <w:t>[8] Command Center Investigation &amp; Tri-Tier Review</w:t>
      </w:r>
    </w:p>
    <w:p>
      <w:pPr>
        <w:spacing w:after="120" w:line="276" w:lineRule="auto"/>
      </w:pPr>
      <w:r>
        <w:rPr>
          <w:sz w:val="21"/>
        </w:rPr>
        <w:t>│ (Analyst inspects 7-Layer Dossier, reviews SHAP waterfall, confirms/corrects)</w:t>
      </w:r>
    </w:p>
    <w:p>
      <w:pPr>
        <w:spacing w:after="120" w:line="276" w:lineRule="auto"/>
      </w:pPr>
      <w:r>
        <w:rPr>
          <w:sz w:val="21"/>
        </w:rPr>
        <w:t>▼</w:t>
      </w:r>
    </w:p>
    <w:p>
      <w:pPr>
        <w:spacing w:after="120" w:line="276" w:lineRule="auto"/>
      </w:pPr>
      <w:r>
        <w:rPr>
          <w:sz w:val="21"/>
        </w:rPr>
        <w:t>[9] Alert Lifecycle Closure &amp; Immutable Audit Logging</w:t>
      </w:r>
    </w:p>
    <w:p>
      <w:pPr>
        <w:spacing w:after="120" w:line="276" w:lineRule="auto"/>
      </w:pPr>
      <w:r>
        <w:rPr>
          <w:sz w:val="21"/>
        </w:rPr>
        <w:t>│ (State transition: ACKNOWLEDGED -&gt; VERIFIED -&gt; RESOLVED -&gt; CLOSED)</w:t>
      </w:r>
    </w:p>
    <w:p>
      <w:pPr>
        <w:spacing w:after="120" w:line="276" w:lineRule="auto"/>
      </w:pPr>
      <w:r>
        <w:rPr>
          <w:sz w:val="21"/>
        </w:rPr>
        <w:t>▼</w:t>
      </w:r>
    </w:p>
    <w:p>
      <w:pPr>
        <w:spacing w:after="120" w:line="276" w:lineRule="auto"/>
      </w:pPr>
      <w:r>
        <w:rPr>
          <w:sz w:val="21"/>
        </w:rPr>
        <w:t>[10] Continuous Inactive Dispatch Safety Enforced</w:t>
      </w:r>
    </w:p>
    <w:p>
      <w:pPr>
        <w:spacing w:after="120" w:line="276" w:lineRule="auto"/>
      </w:pPr>
      <w:r>
        <w:rPr>
          <w:sz w:val="21"/>
        </w:rPr>
        <w:t>(ENABLE_OPERATIONAL_DISPATCH_GATE = False)</w:t>
      </w:r>
    </w:p>
    <w:p>
      <w:pPr>
        <w:pStyle w:val="Heading1"/>
        <w:spacing w:before="360" w:after="160"/>
      </w:pPr>
      <w:r>
        <w:t>28. Current Production Readiness</w:t>
      </w:r>
    </w:p>
    <w:p>
      <w:pPr>
        <w:spacing w:after="120" w:line="276" w:lineRule="auto"/>
      </w:pPr>
      <w:r>
        <w:rPr>
          <w:sz w:val="21"/>
        </w:rPr>
        <w:t>AGNI-NETRA is Production-Ready for Controlled Activation:</w:t>
      </w:r>
    </w:p>
    <w:p>
      <w:pPr>
        <w:spacing w:after="120" w:line="276" w:lineRule="auto"/>
      </w:pPr>
      <w:r>
        <w:rPr>
          <w:sz w:val="21"/>
        </w:rPr>
        <w:t>+-----------------------------------------------------------------------------------------+</w:t>
      </w:r>
    </w:p>
    <w:p>
      <w:pPr>
        <w:spacing w:after="120" w:line="276" w:lineRule="auto"/>
      </w:pPr>
      <w:r>
        <w:rPr>
          <w:sz w:val="21"/>
        </w:rPr>
        <w:t>+-----------------------------------------------------------------------------------------+</w:t>
      </w:r>
    </w:p>
    <w:p>
      <w:pPr>
        <w:spacing w:after="120" w:line="276" w:lineRule="auto"/>
      </w:pPr>
      <w:r>
        <w:rPr>
          <w:sz w:val="21"/>
        </w:rPr>
        <w:t>+-----------------------------------------------------------------------------------------+</w:t>
      </w:r>
    </w:p>
    <w:p>
      <w:pPr>
        <w:pStyle w:val="Heading2"/>
        <w:spacing w:before="240" w:after="120"/>
      </w:pPr>
      <w:r>
        <w:t>Operational Distinction: Readiness vs. Autonomous Dispatch</w:t>
      </w:r>
    </w:p>
    <w:p>
      <w:pPr>
        <w:spacing w:after="120" w:line="276" w:lineRule="auto"/>
      </w:pPr>
      <w:r>
        <w:rPr>
          <w:sz w:val="21"/>
        </w:rPr>
        <w:t>* Operational Readiness: The system is fully running locally, ingesting live satellite data, clustering events, computing features, running ML inference, scoring risk, and rendering the National Command Center.</w:t>
      </w:r>
    </w:p>
    <w:p>
      <w:pPr>
        <w:spacing w:after="120" w:line="276" w:lineRule="auto"/>
      </w:pPr>
      <w:r>
        <w:rPr>
          <w:sz w:val="21"/>
        </w:rPr>
        <w:t>* Controlled Activation: Alerts are securely routed to the internal Human-in-the-Loop Analyst Queue.</w:t>
      </w:r>
    </w:p>
    <w:p>
      <w:pPr>
        <w:spacing w:after="120" w:line="276" w:lineRule="auto"/>
      </w:pPr>
      <w:r>
        <w:rPr>
          <w:sz w:val="21"/>
        </w:rPr>
        <w:t>* Autonomous External Dispatch: Direct automated transmission of alerts to external emergency agencies (NDRF, State Fire Services) is intentionally disabled (ENABLE_OPERATIONAL_DISPATCH_GATE = False) pending formal institutional agency sign-off.</w:t>
      </w:r>
    </w:p>
    <w:p>
      <w:pPr>
        <w:pStyle w:val="Heading1"/>
        <w:spacing w:before="360" w:after="160"/>
      </w:pPr>
      <w:r>
        <w:t>29. Limitations and Threats to Validity</w:t>
      </w:r>
    </w:p>
    <w:p>
      <w:pPr>
        <w:spacing w:after="120" w:line="276" w:lineRule="auto"/>
      </w:pPr>
      <w:r>
        <w:rPr>
          <w:sz w:val="21"/>
        </w:rPr>
        <w:t>1. Satellite Temporal Revisit Constraints: Low Earth Orbit (LEO) satellites (VIIRS, MODIS) provide 2–4 overpasses daily per location. Short-lived flash fires occurring between overpasses cannot be observed.</w:t>
      </w:r>
    </w:p>
    <w:p>
      <w:pPr>
        <w:spacing w:after="120" w:line="276" w:lineRule="auto"/>
      </w:pPr>
      <w:r>
        <w:rPr>
          <w:sz w:val="21"/>
        </w:rPr>
        <w:t>2. Cloud and Atmospheric Attenuation: Heavy cloud cover during peak monsoon months attenuates infrared radiative signatures, reducing detection sensitivity.</w:t>
      </w:r>
    </w:p>
    <w:p>
      <w:pPr>
        <w:spacing w:after="120" w:line="276" w:lineRule="auto"/>
      </w:pPr>
      <w:r>
        <w:rPr>
          <w:sz w:val="21"/>
        </w:rPr>
        <w:t>3. Spatial Resolution Limits: Sub-pixel thermal emitters below the 375m VIIRS instantaneous field of view require high thermal intensity (&gt; 2\text{ MW}) to trigger detection.</w:t>
      </w:r>
    </w:p>
    <w:p>
      <w:pPr>
        <w:spacing w:after="120" w:line="276" w:lineRule="auto"/>
      </w:pPr>
      <w:r>
        <w:rPr>
          <w:sz w:val="21"/>
        </w:rPr>
        <w:t>4. Contextual Dataset Completeness: While OSM contains 35,684 industrial facilities, unorganized or informal small-scale industrial units may lack cadastral mapping.</w:t>
      </w:r>
    </w:p>
    <w:p>
      <w:pPr>
        <w:spacing w:after="120" w:line="276" w:lineRule="auto"/>
      </w:pPr>
      <w:r>
        <w:rPr>
          <w:sz w:val="21"/>
        </w:rPr>
        <w:t>5. Class Imbalance in Ground Truth: High-frequency agricultural burning and industrial flares outnumber rare industrial catastrophe events in historical records.</w:t>
      </w:r>
    </w:p>
    <w:p>
      <w:pPr>
        <w:pStyle w:val="Heading1"/>
        <w:spacing w:before="360" w:after="160"/>
      </w:pPr>
      <w:r>
        <w:t>30. Future Enhancements</w:t>
      </w:r>
    </w:p>
    <w:p>
      <w:pPr>
        <w:spacing w:after="120" w:line="276" w:lineRule="auto"/>
      </w:pPr>
      <w:r>
        <w:rPr>
          <w:sz w:val="21"/>
        </w:rPr>
        <w:t>1. Geostationary Satellite Telemetry Integration: Integrating high-temporal-frequency geostationary sensors (INSAT-3D/3DR, Himawari-9) to achieve 15-minute thermal monitoring over India.</w:t>
      </w:r>
    </w:p>
    <w:p>
      <w:pPr>
        <w:spacing w:after="120" w:line="276" w:lineRule="auto"/>
      </w:pPr>
      <w:r>
        <w:rPr>
          <w:sz w:val="21"/>
        </w:rPr>
        <w:t>2. High-Resolution Optical/SAR Verification: Automating on-demand cross-referencing with Sentinel-2 optical and Sentinel-1 Synthetic Aperture Radar (SAR) imagery for post-fire burn scar assessment.</w:t>
      </w:r>
    </w:p>
    <w:p>
      <w:pPr>
        <w:spacing w:after="120" w:line="276" w:lineRule="auto"/>
      </w:pPr>
      <w:r>
        <w:rPr>
          <w:sz w:val="21"/>
        </w:rPr>
        <w:t>3. Deep Spatiotemporal Sequence Modeling: Incorporating Graph Neural Networks (GNNs) and Transformer architectures to model long-term industrial thermal behavior.</w:t>
      </w:r>
    </w:p>
    <w:p>
      <w:pPr>
        <w:spacing w:after="120" w:line="276" w:lineRule="auto"/>
      </w:pPr>
      <w:r>
        <w:rPr>
          <w:sz w:val="21"/>
        </w:rPr>
        <w:t>4. Vector Tiles (MVT) at National Scale: Transitioning static GeoJSON boundaries to dynamic Mapbox Vector Tile (MVT) protocols for national-scale sub-district rendering.</w:t>
      </w:r>
    </w:p>
    <w:p>
      <w:pPr>
        <w:spacing w:after="120" w:line="276" w:lineRule="auto"/>
      </w:pPr>
      <w:r>
        <w:rPr>
          <w:sz w:val="21"/>
        </w:rPr>
        <w:t>5. Mobile First-Responder PWA: Developing an offline-first Progressive Web Application for field fire officers and forest rangers.</w:t>
      </w:r>
    </w:p>
    <w:p>
      <w:pPr>
        <w:pStyle w:val="Heading1"/>
        <w:spacing w:before="360" w:after="160"/>
      </w:pPr>
      <w:r>
        <w:t>31. Conclusion</w:t>
      </w:r>
    </w:p>
    <w:p>
      <w:pPr>
        <w:spacing w:after="120" w:line="276" w:lineRule="auto"/>
      </w:pPr>
      <w:r>
        <w:rPr>
          <w:sz w:val="21"/>
        </w:rPr>
        <w:t>AGNI-NETRA establishes a new benchmark for satellite-based thermal intelligence in India. By bridging the critical gap between raw Earth observation detections and actionable operational intelligence, the platform demonstrates that:</w:t>
      </w:r>
    </w:p>
    <w:p>
      <w:pPr>
        <w:spacing w:after="120" w:line="276" w:lineRule="auto"/>
      </w:pPr>
      <w:r>
        <w:rPr>
          <w:sz w:val="21"/>
        </w:rPr>
        <w:t>1. Multi-Source Spatial Fusion transforms raw coordinates into rich, contextualized situational awareness.</w:t>
      </w:r>
    </w:p>
    <w:p>
      <w:pPr>
        <w:spacing w:after="120" w:line="276" w:lineRule="auto"/>
      </w:pPr>
      <w:r>
        <w:rPr>
          <w:sz w:val="21"/>
        </w:rPr>
        <w:t>2. Point-in-Time Anti-Leakage Feature Engineering and Lookback Normalization eliminate temporal bias and resolve apparent feature drift across multi-year archives.</w:t>
      </w:r>
    </w:p>
    <w:p>
      <w:pPr>
        <w:spacing w:after="120" w:line="276" w:lineRule="auto"/>
      </w:pPr>
      <w:r>
        <w:rPr>
          <w:sz w:val="21"/>
        </w:rPr>
        <w:t>3. Balanced Platt Probability Calibration eliminates dangerous overconfidence, reducing multiclass log-loss by 55.7%.</w:t>
      </w:r>
    </w:p>
    <w:p>
      <w:pPr>
        <w:spacing w:after="120" w:line="276" w:lineRule="auto"/>
      </w:pPr>
      <w:r>
        <w:rPr>
          <w:sz w:val="21"/>
        </w:rPr>
        <w:t>4. Tri-Tier Human-in-the-Loop Routing guarantees 97.18% selective accuracy on autonomous candidates while protecting analysts from alert fatigue.</w:t>
      </w:r>
    </w:p>
    <w:p>
      <w:pPr>
        <w:spacing w:after="120" w:line="276" w:lineRule="auto"/>
      </w:pPr>
      <w:r>
        <w:rPr>
          <w:sz w:val="21"/>
        </w:rPr>
        <w:t>5. PostGIS-Powered Viewport Querying delivers sub-100ms multi-layer GIS command center performance across 8+ million spatial records.</w:t>
      </w:r>
    </w:p>
    <w:p>
      <w:pPr>
        <w:spacing w:after="120" w:line="276" w:lineRule="auto"/>
      </w:pPr>
      <w:r>
        <w:rPr>
          <w:sz w:val="21"/>
        </w:rPr>
        <w:t>AGNI-NETRA is verified, hardened, and ready for governed operational activation.</w:t>
      </w:r>
    </w:p>
    <w:p>
      <w:pPr>
        <w:pStyle w:val="Heading1"/>
        <w:spacing w:before="360" w:after="160"/>
      </w:pPr>
      <w:r>
        <w:t>References / Data Sources</w:t>
      </w:r>
    </w:p>
    <w:p>
      <w:pPr>
        <w:spacing w:after="120" w:line="276" w:lineRule="auto"/>
      </w:pPr>
      <w:r>
        <w:rPr>
          <w:sz w:val="21"/>
        </w:rPr>
        <w:t>1. NASA FIRMS: NASA Fire Information for Resource Management System. VIIRS (S-NPP, NOAA-20, NOAA-21) and MODIS (Terra, Aqua) Thermal Anomalies / Fire Locations. URL: https://firms.modaps.eosdis.nasa.gov/</w:t>
      </w:r>
    </w:p>
    <w:p>
      <w:pPr>
        <w:spacing w:after="120" w:line="276" w:lineRule="auto"/>
      </w:pPr>
      <w:r>
        <w:rPr>
          <w:sz w:val="21"/>
        </w:rPr>
        <w:t>2. OpenStreetMap: OpenStreetMap National Industrial and Power Generating Facility Registries for India. URL: https://www.openstreetmap.org/</w:t>
      </w:r>
    </w:p>
    <w:p>
      <w:pPr>
        <w:spacing w:after="120" w:line="276" w:lineRule="auto"/>
      </w:pPr>
      <w:r>
        <w:rPr>
          <w:sz w:val="21"/>
        </w:rPr>
        <w:t>3. Central Electricity Authority (CEA): Ministry of Power, Government of India. National Power Generating Stations Database. URL: https://cea.nic.in/</w:t>
      </w:r>
    </w:p>
    <w:p>
      <w:pPr>
        <w:spacing w:after="120" w:line="276" w:lineRule="auto"/>
      </w:pPr>
      <w:r>
        <w:rPr>
          <w:sz w:val="21"/>
        </w:rPr>
        <w:t>4. Indian Bureau of Mines (IBM): Ministry of Mines, Government of India. National Mining Lease and Mineral Concession Cadastral Database. URL: https://ibm.gov.in/</w:t>
      </w:r>
    </w:p>
    <w:p>
      <w:pPr>
        <w:spacing w:after="120" w:line="276" w:lineRule="auto"/>
      </w:pPr>
      <w:r>
        <w:rPr>
          <w:sz w:val="21"/>
        </w:rPr>
        <w:t>5. Ministry of Environment, Forest and Climate Change (MoEFCC): PARIVESH (Pro-Active and Responsive facilitation by Interactive, Virtuous and Environmental Single-window Hub). URL: https://parivesh.nic.in/</w:t>
      </w:r>
    </w:p>
    <w:p>
      <w:pPr>
        <w:spacing w:after="120" w:line="276" w:lineRule="auto"/>
      </w:pPr>
      <w:r>
        <w:rPr>
          <w:sz w:val="21"/>
        </w:rPr>
        <w:t>6. Forest Survey of India (FSI): India State of Forest Report (ISFR). District-wise Forest Canopy Density Classifications. URL: https://fsi.nic.in/</w:t>
      </w:r>
    </w:p>
    <w:p>
      <w:pPr>
        <w:spacing w:after="120" w:line="276" w:lineRule="auto"/>
      </w:pPr>
      <w:r>
        <w:rPr>
          <w:sz w:val="21"/>
        </w:rPr>
        <w:t>7. Wildlife Institute of India (WII): National Protected Area Network and Eco-Sensitive Zone (ESZ) Geospatial Database. URL: https://wii.gov.in/</w:t>
      </w:r>
    </w:p>
    <w:p>
      <w:pPr>
        <w:spacing w:after="120" w:line="276" w:lineRule="auto"/>
      </w:pPr>
      <w:r>
        <w:rPr>
          <w:sz w:val="21"/>
        </w:rPr>
        <w:t>8. ISRO / NRSC Bhuvan: National Remote Sensing Centre, Indian Space Research Organisation. 1:50,000 Land Use / Land Cover (LULC) Multi-Temporal Geoportal. URL: https://bhuvan.nrsc.gov.in/</w:t>
      </w:r>
    </w:p>
    <w:p>
      <w:pPr>
        <w:spacing w:after="120" w:line="276" w:lineRule="auto"/>
      </w:pPr>
      <w:r>
        <w:rPr>
          <w:sz w:val="21"/>
        </w:rPr>
        <w:t>9. Chen, T., &amp; Guestrin, C. (2016): XGBoost: A Scalable Tree Boosting System. *Proceedings of the 22nd ACM SIGKDD International Conference on Knowledge Discovery and Data Mining*, 785–794.</w:t>
      </w:r>
    </w:p>
    <w:p>
      <w:pPr>
        <w:spacing w:after="120" w:line="276" w:lineRule="auto"/>
      </w:pPr>
      <w:r>
        <w:rPr>
          <w:sz w:val="21"/>
        </w:rPr>
        <w:t>10. Lundberg, S. M., &amp; Lee, S.-I. (2017): A Unified Approach to Interpreting Model Predictions. *Advances in Neural Information Processing Systems (NeurIPS 30)*, 4765–4774.</w:t>
      </w:r>
    </w:p>
    <w:p>
      <w:pPr>
        <w:spacing w:after="120" w:line="276" w:lineRule="auto"/>
      </w:pPr>
      <w:r>
        <w:rPr>
          <w:sz w:val="21"/>
        </w:rPr>
        <w:t>11. Platt, J. (1999): Probabilistic Outputs for Support Vector Machines and Comparisons to Regularized Likelihood Methods. *Advances in Large Margin Classifiers*, 10(3), 61–74.</w:t>
      </w:r>
    </w:p>
    <w:p>
      <w:pPr>
        <w:spacing w:after="120" w:line="276" w:lineRule="auto"/>
      </w:pPr>
      <w:r>
        <w:rPr>
          <w:sz w:val="21"/>
        </w:rPr>
        <w:t>12. Guo, C., Pleiss, G., Sun, Y., &amp; Weinberger, K. Q. (2017): On Calibration of Modern Neural Networks. *International Conference on Machine Learning (ICML)*, 1321–1330.</w:t>
      </w:r>
    </w:p>
    <w:p>
      <w:pPr>
        <w:spacing w:after="120" w:line="276" w:lineRule="auto"/>
      </w:pPr>
      <w:r>
        <w:rPr>
          <w:sz w:val="21"/>
        </w:rPr>
        <w:t>13. Ester, M., Kriegel, H.-P., Sander, J., &amp; Xu, X. (1996): A Density-Based Algorithm for Discovering Clusters in Large Spatial Databases with Noise. *KDD-96 Proceedings*, 226–231.</w:t>
      </w:r>
    </w:p>
    <w:p>
      <w:pPr>
        <w:spacing w:after="120" w:line="276" w:lineRule="auto"/>
      </w:pPr>
      <w:r>
        <w:rPr>
          <w:sz w:val="21"/>
        </w:rPr>
        <w:t>14. PostGIS Project: PostGIS Spatial Database Extension for PostgreSQL. URL: https://postgis.net/</w:t>
      </w:r>
    </w:p>
    <w:p>
      <w:pPr>
        <w:spacing w:after="120" w:line="276" w:lineRule="auto"/>
      </w:pPr>
      <w:r>
        <w:rPr>
          <w:sz w:val="21"/>
        </w:rPr>
        <w:t>15. MapLibre Project: MapLibre GL JS Open-Source WebGL Vector Map Library. URL: https://maplibre.org/</w:t>
      </w:r>
    </w:p>
    <w:p>
      <w:pPr>
        <w:pStyle w:val="Heading1"/>
        <w:spacing w:before="360" w:after="160"/>
      </w:pPr>
      <w:r>
        <w:t>Appendices</w:t>
      </w:r>
    </w:p>
    <w:p>
      <w:pPr>
        <w:pStyle w:val="Heading2"/>
        <w:spacing w:before="240" w:after="120"/>
      </w:pPr>
      <w:r>
        <w:t>Appendix A: Database Schema Specifications</w:t>
      </w:r>
    </w:p>
    <w:p>
      <w:pPr>
        <w:spacing w:after="120" w:line="276" w:lineRule="auto"/>
      </w:pPr>
      <w:r>
        <w:rPr>
          <w:sz w:val="21"/>
        </w:rPr>
        <w:t>-- Core Thermal Detections Table (Partitioned by Year)</w:t>
      </w:r>
    </w:p>
    <w:p>
      <w:pPr>
        <w:spacing w:after="120" w:line="276" w:lineRule="auto"/>
      </w:pPr>
      <w:r>
        <w:rPr>
          <w:sz w:val="21"/>
        </w:rPr>
        <w:t>CREATE TABLE thermal_detections (</w:t>
      </w:r>
    </w:p>
    <w:p>
      <w:pPr>
        <w:spacing w:after="120" w:line="276" w:lineRule="auto"/>
      </w:pPr>
      <w:r>
        <w:rPr>
          <w:sz w:val="21"/>
        </w:rPr>
        <w:t>id UUID PRIMARY KEY DEFAULT gen_random_uuid(),</w:t>
      </w:r>
    </w:p>
    <w:p>
      <w:pPr>
        <w:spacing w:after="120" w:line="276" w:lineRule="auto"/>
      </w:pPr>
      <w:r>
        <w:rPr>
          <w:sz w:val="21"/>
        </w:rPr>
        <w:t>latitude DOUBLE PRECISION NOT NULL,</w:t>
      </w:r>
    </w:p>
    <w:p>
      <w:pPr>
        <w:spacing w:after="120" w:line="276" w:lineRule="auto"/>
      </w:pPr>
      <w:r>
        <w:rPr>
          <w:sz w:val="21"/>
        </w:rPr>
        <w:t>longitude DOUBLE PRECISION NOT NULL,</w:t>
      </w:r>
    </w:p>
    <w:p>
      <w:pPr>
        <w:spacing w:after="120" w:line="276" w:lineRule="auto"/>
      </w:pPr>
      <w:r>
        <w:rPr>
          <w:sz w:val="21"/>
        </w:rPr>
        <w:t>acq_timestamp TIMESTAMPTZ NOT NULL,</w:t>
      </w:r>
    </w:p>
    <w:p>
      <w:pPr>
        <w:spacing w:after="120" w:line="276" w:lineRule="auto"/>
      </w:pPr>
      <w:r>
        <w:rPr>
          <w:sz w:val="21"/>
        </w:rPr>
        <w:t>acq_date DATE NOT NULL,</w:t>
      </w:r>
    </w:p>
    <w:p>
      <w:pPr>
        <w:spacing w:after="120" w:line="276" w:lineRule="auto"/>
      </w:pPr>
      <w:r>
        <w:rPr>
          <w:sz w:val="21"/>
        </w:rPr>
        <w:t>frp DOUBLE PRECISION NOT NULL,</w:t>
      </w:r>
    </w:p>
    <w:p>
      <w:pPr>
        <w:spacing w:after="120" w:line="276" w:lineRule="auto"/>
      </w:pPr>
      <w:r>
        <w:rPr>
          <w:sz w:val="21"/>
        </w:rPr>
        <w:t>brightness DOUBLE PRECISION NOT NULL,</w:t>
      </w:r>
    </w:p>
    <w:p>
      <w:pPr>
        <w:spacing w:after="120" w:line="276" w:lineRule="auto"/>
      </w:pPr>
      <w:r>
        <w:rPr>
          <w:sz w:val="21"/>
        </w:rPr>
        <w:t>bright_t31 DOUBLE PRECISION,</w:t>
      </w:r>
    </w:p>
    <w:p>
      <w:pPr>
        <w:spacing w:after="120" w:line="276" w:lineRule="auto"/>
      </w:pPr>
      <w:r>
        <w:rPr>
          <w:sz w:val="21"/>
        </w:rPr>
        <w:t>satellite VARCHAR(20) NOT NULL,</w:t>
      </w:r>
    </w:p>
    <w:p>
      <w:pPr>
        <w:spacing w:after="120" w:line="276" w:lineRule="auto"/>
      </w:pPr>
      <w:r>
        <w:rPr>
          <w:sz w:val="21"/>
        </w:rPr>
        <w:t>instrument VARCHAR(20) NOT NULL,</w:t>
      </w:r>
    </w:p>
    <w:p>
      <w:pPr>
        <w:spacing w:after="120" w:line="276" w:lineRule="auto"/>
      </w:pPr>
      <w:r>
        <w:rPr>
          <w:sz w:val="21"/>
        </w:rPr>
        <w:t>confidence VARCHAR(20) NOT NULL,</w:t>
      </w:r>
    </w:p>
    <w:p>
      <w:pPr>
        <w:spacing w:after="120" w:line="276" w:lineRule="auto"/>
      </w:pPr>
      <w:r>
        <w:rPr>
          <w:sz w:val="21"/>
        </w:rPr>
        <w:t>daynight VARCHAR(5) NOT NULL,</w:t>
      </w:r>
    </w:p>
    <w:p>
      <w:pPr>
        <w:spacing w:after="120" w:line="276" w:lineRule="auto"/>
      </w:pPr>
      <w:r>
        <w:rPr>
          <w:sz w:val="21"/>
        </w:rPr>
        <w:t>is_demo BOOLEAN DEFAULT FALSE,</w:t>
      </w:r>
    </w:p>
    <w:p>
      <w:pPr>
        <w:spacing w:after="120" w:line="276" w:lineRule="auto"/>
      </w:pPr>
      <w:r>
        <w:rPr>
          <w:sz w:val="21"/>
        </w:rPr>
        <w:t>geom GEOMETRY(Point, 4326) NOT NULL</w:t>
      </w:r>
    </w:p>
    <w:p>
      <w:pPr>
        <w:spacing w:after="120" w:line="276" w:lineRule="auto"/>
      </w:pPr>
      <w:r>
        <w:rPr>
          <w:sz w:val="21"/>
        </w:rPr>
        <w:t>);</w:t>
      </w:r>
    </w:p>
    <w:p>
      <w:pPr>
        <w:spacing w:after="120" w:line="276" w:lineRule="auto"/>
      </w:pPr>
      <w:r>
        <w:rPr>
          <w:sz w:val="21"/>
        </w:rPr>
        <w:t>CREATE INDEX idx_thermal_detections_geom ON thermal_detections USING GIST(geom);</w:t>
      </w:r>
    </w:p>
    <w:p>
      <w:pPr>
        <w:spacing w:after="120" w:line="276" w:lineRule="auto"/>
      </w:pPr>
      <w:r>
        <w:rPr>
          <w:sz w:val="21"/>
        </w:rPr>
        <w:t>CREATE INDEX idx_thermal_detections_timestamp ON thermal_detections(acq_timestamp);</w:t>
      </w:r>
    </w:p>
    <w:p>
      <w:pPr>
        <w:spacing w:after="120" w:line="276" w:lineRule="auto"/>
      </w:pPr>
      <w:r>
        <w:rPr>
          <w:sz w:val="21"/>
        </w:rPr>
        <w:t>-- Clustered Thermal Events Table</w:t>
      </w:r>
    </w:p>
    <w:p>
      <w:pPr>
        <w:spacing w:after="120" w:line="276" w:lineRule="auto"/>
      </w:pPr>
      <w:r>
        <w:rPr>
          <w:sz w:val="21"/>
        </w:rPr>
        <w:t>CREATE TABLE thermal_events (</w:t>
      </w:r>
    </w:p>
    <w:p>
      <w:pPr>
        <w:spacing w:after="120" w:line="276" w:lineRule="auto"/>
      </w:pPr>
      <w:r>
        <w:rPr>
          <w:sz w:val="21"/>
        </w:rPr>
        <w:t>id UUID PRIMARY KEY DEFAULT gen_random_uuid(),</w:t>
      </w:r>
    </w:p>
    <w:p>
      <w:pPr>
        <w:spacing w:after="120" w:line="276" w:lineRule="auto"/>
      </w:pPr>
      <w:r>
        <w:rPr>
          <w:sz w:val="21"/>
        </w:rPr>
        <w:t>event_code VARCHAR(50) UNIQUE NOT NULL,</w:t>
      </w:r>
    </w:p>
    <w:p>
      <w:pPr>
        <w:spacing w:after="120" w:line="276" w:lineRule="auto"/>
      </w:pPr>
      <w:r>
        <w:rPr>
          <w:sz w:val="21"/>
        </w:rPr>
        <w:t>first_detected TIMESTAMPTZ NOT NULL,</w:t>
      </w:r>
    </w:p>
    <w:p>
      <w:pPr>
        <w:spacing w:after="120" w:line="276" w:lineRule="auto"/>
      </w:pPr>
      <w:r>
        <w:rPr>
          <w:sz w:val="21"/>
        </w:rPr>
        <w:t>last_detected TIMESTAMPTZ NOT NULL,</w:t>
      </w:r>
    </w:p>
    <w:p>
      <w:pPr>
        <w:spacing w:after="120" w:line="276" w:lineRule="auto"/>
      </w:pPr>
      <w:r>
        <w:rPr>
          <w:sz w:val="21"/>
        </w:rPr>
        <w:t>centroid_lat DOUBLE PRECISION NOT NULL,</w:t>
      </w:r>
    </w:p>
    <w:p>
      <w:pPr>
        <w:spacing w:after="120" w:line="276" w:lineRule="auto"/>
      </w:pPr>
      <w:r>
        <w:rPr>
          <w:sz w:val="21"/>
        </w:rPr>
        <w:t>centroid_lon DOUBLE PRECISION NOT NULL,</w:t>
      </w:r>
    </w:p>
    <w:p>
      <w:pPr>
        <w:spacing w:after="120" w:line="276" w:lineRule="auto"/>
      </w:pPr>
      <w:r>
        <w:rPr>
          <w:sz w:val="21"/>
        </w:rPr>
        <w:t>detection_count INTEGER NOT NULL,</w:t>
      </w:r>
    </w:p>
    <w:p>
      <w:pPr>
        <w:spacing w:after="120" w:line="276" w:lineRule="auto"/>
      </w:pPr>
      <w:r>
        <w:rPr>
          <w:sz w:val="21"/>
        </w:rPr>
        <w:t>max_frp DOUBLE PRECISION NOT NULL,</w:t>
      </w:r>
    </w:p>
    <w:p>
      <w:pPr>
        <w:spacing w:after="120" w:line="276" w:lineRule="auto"/>
      </w:pPr>
      <w:r>
        <w:rPr>
          <w:sz w:val="21"/>
        </w:rPr>
        <w:t>avg_frp DOUBLE PRECISION NOT NULL,</w:t>
      </w:r>
    </w:p>
    <w:p>
      <w:pPr>
        <w:spacing w:after="120" w:line="276" w:lineRule="auto"/>
      </w:pPr>
      <w:r>
        <w:rPr>
          <w:sz w:val="21"/>
        </w:rPr>
        <w:t>state VARCHAR(100),</w:t>
      </w:r>
    </w:p>
    <w:p>
      <w:pPr>
        <w:spacing w:after="120" w:line="276" w:lineRule="auto"/>
      </w:pPr>
      <w:r>
        <w:rPr>
          <w:sz w:val="21"/>
        </w:rPr>
        <w:t>district VARCHAR(100),</w:t>
      </w:r>
    </w:p>
    <w:p>
      <w:pPr>
        <w:spacing w:after="120" w:line="276" w:lineRule="auto"/>
      </w:pPr>
      <w:r>
        <w:rPr>
          <w:sz w:val="21"/>
        </w:rPr>
        <w:t>status VARCHAR(50) DEFAULT 'ACTIVE',</w:t>
      </w:r>
    </w:p>
    <w:p>
      <w:pPr>
        <w:spacing w:after="120" w:line="276" w:lineRule="auto"/>
      </w:pPr>
      <w:r>
        <w:rPr>
          <w:sz w:val="21"/>
        </w:rPr>
        <w:t>geom GEOMETRY(Point, 4326) NOT NULL</w:t>
      </w:r>
    </w:p>
    <w:p>
      <w:pPr>
        <w:spacing w:after="120" w:line="276" w:lineRule="auto"/>
      </w:pPr>
      <w:r>
        <w:rPr>
          <w:sz w:val="21"/>
        </w:rPr>
        <w:t>);</w:t>
      </w:r>
    </w:p>
    <w:p>
      <w:pPr>
        <w:spacing w:after="120" w:line="276" w:lineRule="auto"/>
      </w:pPr>
      <w:r>
        <w:rPr>
          <w:sz w:val="21"/>
        </w:rPr>
        <w:t>CREATE INDEX idx_thermal_events_geom ON thermal_events USING GIST(geom);</w:t>
      </w:r>
    </w:p>
    <w:p>
      <w:pPr>
        <w:spacing w:after="120" w:line="276" w:lineRule="auto"/>
      </w:pPr>
      <w:r>
        <w:rPr>
          <w:sz w:val="21"/>
        </w:rPr>
        <w:t>-- Event Features Table (26 Dimensions)</w:t>
      </w:r>
    </w:p>
    <w:p>
      <w:pPr>
        <w:spacing w:after="120" w:line="276" w:lineRule="auto"/>
      </w:pPr>
      <w:r>
        <w:rPr>
          <w:sz w:val="21"/>
        </w:rPr>
        <w:t>CREATE TABLE event_features (</w:t>
      </w:r>
    </w:p>
    <w:p>
      <w:pPr>
        <w:spacing w:after="120" w:line="276" w:lineRule="auto"/>
      </w:pPr>
      <w:r>
        <w:rPr>
          <w:sz w:val="21"/>
        </w:rPr>
        <w:t>id UUID PRIMARY KEY DEFAULT gen_random_uuid(),</w:t>
      </w:r>
    </w:p>
    <w:p>
      <w:pPr>
        <w:spacing w:after="120" w:line="276" w:lineRule="auto"/>
      </w:pPr>
      <w:r>
        <w:rPr>
          <w:sz w:val="21"/>
        </w:rPr>
        <w:t>event_id UUID REFERENCES thermal_events(id) ON DELETE CASCADE,</w:t>
      </w:r>
    </w:p>
    <w:p>
      <w:pPr>
        <w:spacing w:after="120" w:line="276" w:lineRule="auto"/>
      </w:pPr>
      <w:r>
        <w:rPr>
          <w:sz w:val="21"/>
        </w:rPr>
        <w:t>frp_max DOUBLE PRECISION,</w:t>
      </w:r>
    </w:p>
    <w:p>
      <w:pPr>
        <w:spacing w:after="120" w:line="276" w:lineRule="auto"/>
      </w:pPr>
      <w:r>
        <w:rPr>
          <w:sz w:val="21"/>
        </w:rPr>
        <w:t>frp_avg DOUBLE PRECISION,</w:t>
      </w:r>
    </w:p>
    <w:p>
      <w:pPr>
        <w:spacing w:after="120" w:line="276" w:lineRule="auto"/>
      </w:pPr>
      <w:r>
        <w:rPr>
          <w:sz w:val="21"/>
        </w:rPr>
        <w:t>bright_max DOUBLE PRECISION,</w:t>
      </w:r>
    </w:p>
    <w:p>
      <w:pPr>
        <w:spacing w:after="120" w:line="276" w:lineRule="auto"/>
      </w:pPr>
      <w:r>
        <w:rPr>
          <w:sz w:val="21"/>
        </w:rPr>
        <w:t>persistence_score DOUBLE PRECISION,</w:t>
      </w:r>
    </w:p>
    <w:p>
      <w:pPr>
        <w:spacing w:after="120" w:line="276" w:lineRule="auto"/>
      </w:pPr>
      <w:r>
        <w:rPr>
          <w:sz w:val="21"/>
        </w:rPr>
        <w:t>recurrence_rate DOUBLE PRECISION,</w:t>
      </w:r>
    </w:p>
    <w:p>
      <w:pPr>
        <w:spacing w:after="120" w:line="276" w:lineRule="auto"/>
      </w:pPr>
      <w:r>
        <w:rPr>
          <w:sz w:val="21"/>
        </w:rPr>
        <w:t>baseline_deviation_ratio DOUBLE PRECISION,</w:t>
      </w:r>
    </w:p>
    <w:p>
      <w:pPr>
        <w:spacing w:after="120" w:line="276" w:lineRule="auto"/>
      </w:pPr>
      <w:r>
        <w:rPr>
          <w:sz w:val="21"/>
        </w:rPr>
        <w:t>dist_to_industrial_m DOUBLE PRECISION,</w:t>
      </w:r>
    </w:p>
    <w:p>
      <w:pPr>
        <w:spacing w:after="120" w:line="276" w:lineRule="auto"/>
      </w:pPr>
      <w:r>
        <w:rPr>
          <w:sz w:val="21"/>
        </w:rPr>
        <w:t>dist_to_power_m DOUBLE PRECISION,</w:t>
      </w:r>
    </w:p>
    <w:p>
      <w:pPr>
        <w:spacing w:after="120" w:line="276" w:lineRule="auto"/>
      </w:pPr>
      <w:r>
        <w:rPr>
          <w:sz w:val="21"/>
        </w:rPr>
        <w:t>dist_to_mine_m DOUBLE PRECISION,</w:t>
      </w:r>
    </w:p>
    <w:p>
      <w:pPr>
        <w:spacing w:after="120" w:line="276" w:lineRule="auto"/>
      </w:pPr>
      <w:r>
        <w:rPr>
          <w:sz w:val="21"/>
        </w:rPr>
        <w:t>in_protected_area BOOLEAN,</w:t>
      </w:r>
    </w:p>
    <w:p>
      <w:pPr>
        <w:spacing w:after="120" w:line="276" w:lineRule="auto"/>
      </w:pPr>
      <w:r>
        <w:rPr>
          <w:sz w:val="21"/>
        </w:rPr>
        <w:t>dist_to_pa_m DOUBLE PRECISION,</w:t>
      </w:r>
    </w:p>
    <w:p>
      <w:pPr>
        <w:spacing w:after="120" w:line="276" w:lineRule="auto"/>
      </w:pPr>
      <w:r>
        <w:rPr>
          <w:sz w:val="21"/>
        </w:rPr>
        <w:t>forest_coverage_pct DOUBLE PRECISION,</w:t>
      </w:r>
    </w:p>
    <w:p>
      <w:pPr>
        <w:spacing w:after="120" w:line="276" w:lineRule="auto"/>
      </w:pPr>
      <w:r>
        <w:rPr>
          <w:sz w:val="21"/>
        </w:rPr>
        <w:t>feature_vector JSONB NOT NULL,</w:t>
      </w:r>
    </w:p>
    <w:p>
      <w:pPr>
        <w:spacing w:after="120" w:line="276" w:lineRule="auto"/>
      </w:pPr>
      <w:r>
        <w:rPr>
          <w:sz w:val="21"/>
        </w:rPr>
        <w:t>created_at TIMESTAMPTZ DEFAULT NOW()</w:t>
      </w:r>
    </w:p>
    <w:p>
      <w:pPr>
        <w:spacing w:after="120" w:line="276" w:lineRule="auto"/>
      </w:pPr>
      <w:r>
        <w:rPr>
          <w:sz w:val="21"/>
        </w:rPr>
        <w:t>);</w:t>
      </w:r>
    </w:p>
    <w:p>
      <w:pPr>
        <w:pStyle w:val="Heading2"/>
        <w:spacing w:before="240" w:after="120"/>
      </w:pPr>
      <w:r>
        <w:t>Appendix B: Operational Runbooks &amp; Disaster Recovery Protocols</w:t>
      </w:r>
    </w:p>
    <w:p>
      <w:pPr>
        <w:spacing w:after="120" w:line="276" w:lineRule="auto"/>
      </w:pPr>
      <w:r>
        <w:rPr>
          <w:sz w:val="21"/>
        </w:rPr>
        <w:t>1. Model Rollback Protocol: If online performance degrades or PSI exceeds 0.25 on mature features, execute:</w:t>
      </w:r>
    </w:p>
    <w:p>
      <w:pPr>
        <w:spacing w:after="120" w:line="276" w:lineRule="auto"/>
      </w:pPr>
      <w:r>
        <w:rPr>
          <w:sz w:val="21"/>
        </w:rPr>
        <w:t>python ml/scripts/rollback_model.py --target-version xgb-v2.0-real-candidate</w:t>
      </w:r>
    </w:p>
    <w:p>
      <w:pPr>
        <w:spacing w:after="120" w:line="276" w:lineRule="auto"/>
      </w:pPr>
      <w:r>
        <w:rPr>
          <w:sz w:val="21"/>
        </w:rPr>
        <w:t>2. Database Backup &amp; Disaster Restore:</w:t>
      </w:r>
    </w:p>
    <w:p>
      <w:pPr>
        <w:spacing w:after="120" w:line="276" w:lineRule="auto"/>
      </w:pPr>
      <w:r>
        <w:rPr>
          <w:sz w:val="21"/>
        </w:rPr>
        <w:t># Automated Snapshot Backup</w:t>
      </w:r>
    </w:p>
    <w:p>
      <w:pPr>
        <w:spacing w:after="120" w:line="276" w:lineRule="auto"/>
      </w:pPr>
      <w:r>
        <w:rPr>
          <w:sz w:val="21"/>
        </w:rPr>
        <w:t>pg_dump -h localhost -U agni_user -d agni_netra -F c -b -v -f backups/agni_netra_snapshot.dump</w:t>
      </w:r>
    </w:p>
    <w:p>
      <w:pPr>
        <w:spacing w:after="120" w:line="276" w:lineRule="auto"/>
      </w:pPr>
      <w:r>
        <w:rPr>
          <w:sz w:val="21"/>
        </w:rPr>
        <w:t># Verification Restore to Isolated Instance</w:t>
      </w:r>
    </w:p>
    <w:p>
      <w:pPr>
        <w:spacing w:after="120" w:line="276" w:lineRule="auto"/>
      </w:pPr>
      <w:r>
        <w:rPr>
          <w:sz w:val="21"/>
        </w:rPr>
        <w:t>createdb -h localhost -U agni_user agni_netra_restore_test</w:t>
      </w:r>
    </w:p>
    <w:p>
      <w:pPr>
        <w:spacing w:after="120" w:line="276" w:lineRule="auto"/>
      </w:pPr>
      <w:r>
        <w:rPr>
          <w:sz w:val="21"/>
        </w:rPr>
        <w:t>pg_restore -h localhost -U agni_user -d agni_netra_restore_test -v backups/agni_netra_snapshot.dump</w:t>
      </w:r>
    </w:p>
    <w:p>
      <w:pPr>
        <w:spacing w:after="120" w:line="276" w:lineRule="auto"/>
      </w:pPr>
      <w:r>
        <w:rPr>
          <w:sz w:val="21"/>
        </w:rPr>
        <w:t>3. Operational Dispatch Activation Safety Checklist:</w:t>
      </w:r>
    </w:p>
    <w:p>
      <w:pPr>
        <w:spacing w:after="120" w:line="276" w:lineRule="auto"/>
      </w:pPr>
      <w:r>
        <w:rPr>
          <w:sz w:val="21"/>
        </w:rPr>
        <w:t>- [ ] Institutional agency sign-off obtained from State Disaster Management Authority (SDMA).</w:t>
      </w:r>
    </w:p>
    <w:p>
      <w:pPr>
        <w:spacing w:after="120" w:line="276" w:lineRule="auto"/>
      </w:pPr>
      <w:r>
        <w:rPr>
          <w:sz w:val="21"/>
        </w:rPr>
        <w:t>- [ ] Continuous 30-day shadow mode completed with zero critical false positive alarms.</w:t>
      </w:r>
    </w:p>
    <w:p>
      <w:pPr>
        <w:spacing w:after="120" w:line="276" w:lineRule="auto"/>
      </w:pPr>
      <w:r>
        <w:rPr>
          <w:sz w:val="21"/>
        </w:rPr>
        <w:t>- [ ] Model drift PSI verified &lt; 0.15 across all 26 features.</w:t>
      </w:r>
    </w:p>
    <w:p>
      <w:pPr>
        <w:spacing w:after="120" w:line="276" w:lineRule="auto"/>
      </w:pPr>
      <w:r>
        <w:rPr>
          <w:sz w:val="21"/>
        </w:rPr>
        <w:t>- [ ] Set ENABLE_OPERATIONAL_DISPATCH_GATE = True in .env and restart worker service.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AGNI-NETRA Research Project Report — Production Release v1.0 — Controlled Activation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AGNI-NETRA: Geospatial Intelligence &amp; ML Platform for Thermal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