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Request for Proposal — Enterprise Skills Assessment Platform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Issuing Organisation: </w:t>
      </w:r>
      <w:r>
        <w:rPr>
          <w:sz w:val="22"/>
          <w:szCs w:val="22"/>
        </w:rPr>
        <w:t xml:space="preserve">Acme Corp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RFP Reference: </w:t>
      </w:r>
      <w:r>
        <w:rPr>
          <w:sz w:val="22"/>
          <w:szCs w:val="22"/>
        </w:rPr>
        <w:t xml:space="preserve">ACME-2026-RFP-001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Response Deadline: </w:t>
      </w:r>
      <w:r>
        <w:rPr>
          <w:sz w:val="22"/>
          <w:szCs w:val="22"/>
        </w:rPr>
        <w:t xml:space="preserve">30 September 2026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Budget Envelope: </w:t>
      </w:r>
      <w:r>
        <w:rPr>
          <w:sz w:val="22"/>
          <w:szCs w:val="22"/>
        </w:rPr>
        <w:t xml:space="preserve">USD 250,000 (annual licence)</w:t>
      </w:r>
    </w:p>
    <w:p>
      <w:pPr>
        <w:pStyle w:val="Heading2"/>
        <w:spacing w:after="120" w:before="300"/>
      </w:pPr>
      <w: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Acme Corp is seeking a qualified vendor to supply an Enterprise Skills Assessment Platform that supports end-to-end pre-hiring and continuous-learning measurement across our global workforce of approximately 8,500 employees in 14 countries. The selected solution must integrate natively with our existing Workday HCM and Salesforce CRM environments.</w:t>
      </w:r>
    </w:p>
    <w:p>
      <w:pPr>
        <w:pStyle w:val="Heading2"/>
        <w:spacing w:after="120" w:before="300"/>
      </w:pPr>
      <w:r>
        <w:t xml:space="preserve">2. Background &amp; Business Context</w:t>
      </w:r>
    </w:p>
    <w:p>
      <w:pPr>
        <w:spacing w:after="120"/>
      </w:pPr>
      <w:r>
        <w:rPr>
          <w:sz w:val="22"/>
          <w:szCs w:val="22"/>
        </w:rPr>
        <w:t xml:space="preserve">Acme Corp's Talent Acquisition and L&amp;D teams currently rely on a combination of manual competency interviews and three separate point-solutions for technical screening, soft-skill surveys, and compliance certifications. This fragmentation creates data silos, increases time-to-hire by an estimated 23%, and prevents meaningful skills-gap analysis at the business-unit level.</w:t>
      </w:r>
    </w:p>
    <w:p>
      <w:pPr>
        <w:spacing w:after="120"/>
      </w:pPr>
      <w:r>
        <w:rPr>
          <w:sz w:val="22"/>
          <w:szCs w:val="22"/>
        </w:rPr>
        <w:t xml:space="preserve">The new platform must consolidate these workflows under a single vendor while providing a best-in-class candidate and employee experience.</w:t>
      </w:r>
    </w:p>
    <w:p>
      <w:pPr>
        <w:pStyle w:val="Heading2"/>
        <w:spacing w:after="120" w:before="300"/>
      </w:pPr>
      <w:r>
        <w:t xml:space="preserve">3. Scope of Requirements</w:t>
      </w:r>
    </w:p>
    <w:p>
      <w:pPr>
        <w:pStyle w:val="Heading2"/>
        <w:spacing w:after="120" w:before="300"/>
      </w:pPr>
      <w:r>
        <w:t xml:space="preserve">3.1 Functional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Adaptive question engine supporting coding (15+ languages), MCQ, video-response, and case-study formats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Live proctoring with AI anomaly detection and human-review escalation workflow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Pre-built question library with a minimum of 50,000 validated items across 120 skill domains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Custom assessment authoring tool accessible to non-technical HR administrators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Role-based dashboards for recruiters, hiring managers, and L&amp;D business partners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Automated scoring with configurable pass/fail thresholds and benchmark comparisons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360-degree feedback module for continuous performance measurement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Skills taxonomy management aligned to the European Skills, Competences, Qualifications and Occupations (ESCO) framework</w:t>
      </w:r>
    </w:p>
    <w:p>
      <w:pPr>
        <w:pStyle w:val="Heading2"/>
        <w:spacing w:after="120" w:before="300"/>
      </w:pPr>
      <w:r>
        <w:t xml:space="preserve">3.2 Integration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Workday HCM — bidirectional sync via Workday RaaS and SOAP APIs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Salesforce CRM — assessment results surfaced as custom objects on Lead and Contact records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SSO via SAML 2.0 and OAuth 2.0 (Okta IdP)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REST API with full OpenAPI 3.0 documentation for custom integrations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Webhook support for real-time assessment completion events</w:t>
      </w:r>
    </w:p>
    <w:p>
      <w:pPr>
        <w:pStyle w:val="Heading2"/>
        <w:spacing w:after="120" w:before="300"/>
      </w:pPr>
      <w:r>
        <w:t xml:space="preserve">3.3 Non-Functional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NFR-01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uptime SLA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99.9% monthly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NFR-02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Assessment load time (p95)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NFR-03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Concurrent assessment takers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≥ 5,000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NFR-04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encryption at rest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AES-256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NFR-05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encryption in transit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TLS 1.3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NFR-06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residency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 &amp; US regions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NFR-07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Certifications required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 27001, SOC 2 Type II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NFR-08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Accessibility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WCAG conformance level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WCAG 2.1 AA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t xml:space="preserve">4. Evaluation Criteria</w:t>
      </w:r>
    </w:p>
    <w:p>
      <w:pPr>
        <w:spacing w:after="120"/>
      </w:pPr>
      <w:r>
        <w:rPr>
          <w:sz w:val="22"/>
          <w:szCs w:val="22"/>
        </w:rPr>
        <w:t xml:space="preserve">Proposals will be scored on the following weighted criteria: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 fit against requirements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capability &amp; API maturity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&amp; compliance posture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Implementation timeline &amp; methodology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references &amp; case studies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cost of ownership (3-year)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t xml:space="preserve">5. Proposal Submission Instructions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Proposals must be submitted in PDF format to rfp@acmecorp.com by 17:00 EST on 30 September 2026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Proposals must not exceed 40 pages excluding appendices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Vendors must complete the attached Vendor Questionnaire (Appendix A) in full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Pricing must be itemised: platform licence, implementation services, training, and ongoing support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References from at least two enterprise customers (&gt;5,000 employees) are required</w:t>
      </w:r>
    </w:p>
    <w:p>
      <w:pPr>
        <w:pStyle w:val="Heading2"/>
        <w:spacing w:after="120" w:before="300"/>
      </w:pPr>
      <w:r>
        <w:t xml:space="preserve">6. Contract Terms</w:t>
      </w:r>
    </w:p>
    <w:p>
      <w:pPr>
        <w:spacing w:after="120"/>
      </w:pPr>
      <w:r>
        <w:rPr>
          <w:sz w:val="22"/>
          <w:szCs w:val="22"/>
        </w:rPr>
        <w:t xml:space="preserve">The initial contract term is 3 years with options for two 1-year extensions. Acme Corp's standard Master Services Agreement (MSA) will govern the engagement. Vendors proposing material deviations from the MSA must submit a redline in their proposal.</w:t>
      </w:r>
    </w:p>
    <w:p>
      <w:pPr>
        <w:pStyle w:val="Heading2"/>
        <w:spacing w:after="120" w:before="300"/>
      </w:pPr>
      <w:r>
        <w:t xml:space="preserve">7. Point of Contact</w:t>
      </w:r>
    </w:p>
    <w:p>
      <w:pPr>
        <w:spacing w:after="120"/>
      </w:pPr>
      <w:r>
        <w:rPr>
          <w:sz w:val="22"/>
          <w:szCs w:val="22"/>
        </w:rPr>
        <w:t xml:space="preserve">All questions must be submitted in writing to: procurement@acmecorp.com</w:t>
      </w:r>
    </w:p>
    <w:p>
      <w:pPr>
        <w:spacing w:after="120"/>
      </w:pPr>
      <w:r>
        <w:rPr>
          <w:sz w:val="22"/>
          <w:szCs w:val="22"/>
        </w:rPr>
        <w:t xml:space="preserve">Questions will be accepted until 15 August 2026. Answers will be published to all registered vendors.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2026-06-08T06:35:44.459Z</dcterms:created>
  <dcterms:modified xsi:type="dcterms:W3CDTF">2026-06-08T06:35:44.459Z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