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Technical Requirements Specification — Talent Intelligence Suite</w:t>
      </w:r>
    </w:p>
    <w:p>
      <w:pPr>
        <w:spacing w:after="80"/>
      </w:pPr>
      <w:r>
        <w:rPr>
          <w:b/>
          <w:bCs/>
          <w:sz w:val="22"/>
          <w:szCs w:val="22"/>
        </w:rPr>
        <w:t xml:space="preserve">Client: </w:t>
      </w:r>
      <w:r>
        <w:rPr>
          <w:sz w:val="22"/>
          <w:szCs w:val="22"/>
        </w:rPr>
        <w:t xml:space="preserve">GlobalTech Inc</w:t>
      </w:r>
    </w:p>
    <w:p>
      <w:pPr>
        <w:spacing w:after="80"/>
      </w:pPr>
      <w:r>
        <w:rPr>
          <w:b/>
          <w:bCs/>
          <w:sz w:val="22"/>
          <w:szCs w:val="22"/>
        </w:rPr>
        <w:t xml:space="preserve">Document Version: </w:t>
      </w:r>
      <w:r>
        <w:rPr>
          <w:sz w:val="22"/>
          <w:szCs w:val="22"/>
        </w:rPr>
        <w:t xml:space="preserve">2.1 — DRAFT FOR VENDOR REVIEW</w:t>
      </w:r>
    </w:p>
    <w:p>
      <w:pPr>
        <w:spacing w:after="80"/>
      </w:pPr>
      <w:r>
        <w:rPr>
          <w:b/>
          <w:bCs/>
          <w:sz w:val="22"/>
          <w:szCs w:val="22"/>
        </w:rPr>
        <w:t xml:space="preserve">Estimated Value: </w:t>
      </w:r>
      <w:r>
        <w:rPr>
          <w:sz w:val="22"/>
          <w:szCs w:val="22"/>
        </w:rPr>
        <w:t xml:space="preserve">USD 500,000 (Year 1, including implementation)</w:t>
      </w:r>
    </w:p>
    <w:p>
      <w:pPr>
        <w:spacing w:after="240"/>
      </w:pPr>
      <w:r>
        <w:rPr>
          <w:b/>
          <w:bCs/>
          <w:sz w:val="22"/>
          <w:szCs w:val="22"/>
        </w:rPr>
        <w:t xml:space="preserve">RFP Close Date: </w:t>
      </w:r>
      <w:r>
        <w:rPr>
          <w:sz w:val="22"/>
          <w:szCs w:val="22"/>
        </w:rPr>
        <w:t xml:space="preserve">15 August 2026</w:t>
      </w:r>
    </w:p>
    <w:p>
      <w:pPr>
        <w:pStyle w:val="Heading2"/>
        <w:spacing w:after="120" w:before="300"/>
      </w:pPr>
      <w:r>
        <w:t xml:space="preserve">1. Purpose &amp; Scope</w:t>
      </w:r>
    </w:p>
    <w:p>
      <w:pPr>
        <w:spacing w:after="120"/>
      </w:pPr>
      <w:r>
        <w:rPr>
          <w:sz w:val="22"/>
          <w:szCs w:val="22"/>
        </w:rPr>
        <w:t xml:space="preserve">This Technical Requirements Specification (TRS) defines the architecture, data, and integration constraints that any Talent Intelligence Suite vendor must satisfy to be considered for GlobalTech Inc's enterprise procurement. It supplements the commercial RFP issued on 01 June 2026 (ref: GTI-2026-RFP-047).</w:t>
      </w:r>
    </w:p>
    <w:p>
      <w:pPr>
        <w:spacing w:after="120"/>
      </w:pPr>
      <w:r>
        <w:rPr>
          <w:sz w:val="22"/>
          <w:szCs w:val="22"/>
        </w:rPr>
        <w:t xml:space="preserve">GlobalTech operates a hybrid cloud environment (Azure primary, AWS DR) serving 22,000 employees across APAC, EMEA, and the Americas. The selected platform will replace legacy tools including Taleo ATS (sunset Q1 2027) and a custom-built Python skills-matching service.</w:t>
      </w:r>
    </w:p>
    <w:p>
      <w:pPr>
        <w:pStyle w:val="Heading2"/>
        <w:spacing w:after="120" w:before="300"/>
      </w:pPr>
      <w:r>
        <w:t xml:space="preserve">2. Architecture Requirements</w:t>
      </w:r>
    </w:p>
    <w:p>
      <w:pPr>
        <w:pStyle w:val="Heading2"/>
        <w:spacing w:after="120" w:before="300"/>
      </w:pPr>
      <w:r>
        <w:t xml:space="preserve">2.1 Deployment Model</w:t>
      </w:r>
    </w:p>
    <w:p>
      <w:pPr>
        <w:pStyle w:val="ListParagraph"/>
        <w:numPr>
          <w:ilvl w:val="0"/>
          <w:numId w:val="1"/>
        </w:numPr>
        <w:spacing w:after="80"/>
      </w:pPr>
      <w:r>
        <w:rPr>
          <w:sz w:val="22"/>
          <w:szCs w:val="22"/>
        </w:rPr>
        <w:t xml:space="preserve">SaaS multi-tenant with dedicated tenant isolation (logical or physical) — vendor to specify</w:t>
      </w:r>
    </w:p>
    <w:p>
      <w:pPr>
        <w:pStyle w:val="ListParagraph"/>
        <w:numPr>
          <w:ilvl w:val="0"/>
          <w:numId w:val="1"/>
        </w:numPr>
        <w:spacing w:after="80"/>
      </w:pPr>
      <w:r>
        <w:rPr>
          <w:sz w:val="22"/>
          <w:szCs w:val="22"/>
        </w:rPr>
        <w:t xml:space="preserve">Data must reside in Azure regions: East US 2, West Europe, Southeast Asia (tri-regional)</w:t>
      </w:r>
    </w:p>
    <w:p>
      <w:pPr>
        <w:pStyle w:val="ListParagraph"/>
        <w:numPr>
          <w:ilvl w:val="0"/>
          <w:numId w:val="1"/>
        </w:numPr>
        <w:spacing w:after="80"/>
      </w:pPr>
      <w:r>
        <w:rPr>
          <w:sz w:val="22"/>
          <w:szCs w:val="22"/>
        </w:rPr>
        <w:t xml:space="preserve">Disaster recovery RPO ≤ 1 hour, RTO ≤ 4 hours</w:t>
      </w:r>
    </w:p>
    <w:p>
      <w:pPr>
        <w:pStyle w:val="ListParagraph"/>
        <w:numPr>
          <w:ilvl w:val="0"/>
          <w:numId w:val="1"/>
        </w:numPr>
        <w:spacing w:after="80"/>
      </w:pPr>
      <w:r>
        <w:rPr>
          <w:sz w:val="22"/>
          <w:szCs w:val="22"/>
        </w:rPr>
        <w:t xml:space="preserve">Blue-green deployment model required — zero-downtime upgrades mandatory</w:t>
      </w:r>
    </w:p>
    <w:p>
      <w:pPr>
        <w:pStyle w:val="Heading2"/>
        <w:spacing w:after="120" w:before="300"/>
      </w:pPr>
      <w:r>
        <w:t xml:space="preserve">2.2 API &amp; Integration Architecture</w:t>
      </w:r>
    </w:p>
    <w:p>
      <w:pPr>
        <w:spacing w:after="120"/>
      </w:pPr>
      <w:r>
        <w:rPr>
          <w:sz w:val="22"/>
          <w:szCs w:val="22"/>
        </w:rPr>
        <w:t xml:space="preserve">All integrations must be implemented via the vendor's public API. Screen-scraping, iframe injection, and proprietary sync agents are not permitted.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sz="1"/>
              <w:left w:val="single" w:sz="1"/>
              <w:bottom w:val="single" w:sz="1"/>
              <w:right w:val="single" w:sz="1"/>
            </w:tcBorders>
          </w:tcPr>
          <w:p>
            <w:r>
              <w:rPr>
                <w:b/>
                <w:bCs/>
                <w:sz w:val="20"/>
                <w:szCs w:val="20"/>
              </w:rPr>
              <w:t xml:space="preserve">System</w:t>
            </w:r>
          </w:p>
        </w:tc>
        <w:tc>
          <w:tcPr>
            <w:tcBorders>
              <w:top w:val="single" w:sz="1"/>
              <w:left w:val="single" w:sz="1"/>
              <w:bottom w:val="single" w:sz="1"/>
              <w:right w:val="single" w:sz="1"/>
            </w:tcBorders>
          </w:tcPr>
          <w:p>
            <w:r>
              <w:rPr>
                <w:b/>
                <w:bCs/>
                <w:sz w:val="20"/>
                <w:szCs w:val="20"/>
              </w:rPr>
              <w:t xml:space="preserve">Integration Type</w:t>
            </w:r>
          </w:p>
        </w:tc>
        <w:tc>
          <w:tcPr>
            <w:tcBorders>
              <w:top w:val="single" w:sz="1"/>
              <w:left w:val="single" w:sz="1"/>
              <w:bottom w:val="single" w:sz="1"/>
              <w:right w:val="single" w:sz="1"/>
            </w:tcBorders>
          </w:tcPr>
          <w:p>
            <w:r>
              <w:rPr>
                <w:b/>
                <w:bCs/>
                <w:sz w:val="20"/>
                <w:szCs w:val="20"/>
              </w:rPr>
              <w:t xml:space="preserve">Direction</w:t>
            </w:r>
          </w:p>
        </w:tc>
        <w:tc>
          <w:tcPr>
            <w:tcBorders>
              <w:top w:val="single" w:sz="1"/>
              <w:left w:val="single" w:sz="1"/>
              <w:bottom w:val="single" w:sz="1"/>
              <w:right w:val="single" w:sz="1"/>
            </w:tcBorders>
          </w:tcPr>
          <w:p>
            <w:r>
              <w:rPr>
                <w:b/>
                <w:bCs/>
                <w:sz w:val="20"/>
                <w:szCs w:val="20"/>
              </w:rPr>
              <w:t xml:space="preserve">Protocol</w:t>
            </w:r>
          </w:p>
        </w:tc>
        <w:tc>
          <w:tcPr>
            <w:tcBorders>
              <w:top w:val="single" w:sz="1"/>
              <w:left w:val="single" w:sz="1"/>
              <w:bottom w:val="single" w:sz="1"/>
              <w:right w:val="single" w:sz="1"/>
            </w:tcBorders>
          </w:tcPr>
          <w:p>
            <w:r>
              <w:rPr>
                <w:b/>
                <w:bCs/>
                <w:sz w:val="20"/>
                <w:szCs w:val="20"/>
              </w:rPr>
              <w:t xml:space="preserve">Frequency</w:t>
            </w:r>
          </w:p>
        </w:tc>
      </w:tr>
      <w:tr>
        <w:tc>
          <w:tcPr>
            <w:tcBorders>
              <w:top w:val="single" w:sz="1"/>
              <w:left w:val="single" w:sz="1"/>
              <w:bottom w:val="single" w:sz="1"/>
              <w:right w:val="single" w:sz="1"/>
            </w:tcBorders>
          </w:tcPr>
          <w:p>
            <w:r>
              <w:rPr>
                <w:b w:val="false"/>
                <w:bCs w:val="false"/>
                <w:sz w:val="20"/>
                <w:szCs w:val="20"/>
              </w:rPr>
              <w:t xml:space="preserve">Azure AD</w:t>
            </w:r>
          </w:p>
        </w:tc>
        <w:tc>
          <w:tcPr>
            <w:tcBorders>
              <w:top w:val="single" w:sz="1"/>
              <w:left w:val="single" w:sz="1"/>
              <w:bottom w:val="single" w:sz="1"/>
              <w:right w:val="single" w:sz="1"/>
            </w:tcBorders>
          </w:tcPr>
          <w:p>
            <w:r>
              <w:rPr>
                <w:b w:val="false"/>
                <w:bCs w:val="false"/>
                <w:sz w:val="20"/>
                <w:szCs w:val="20"/>
              </w:rPr>
              <w:t xml:space="preserve">Identity provider</w:t>
            </w:r>
          </w:p>
        </w:tc>
        <w:tc>
          <w:tcPr>
            <w:tcBorders>
              <w:top w:val="single" w:sz="1"/>
              <w:left w:val="single" w:sz="1"/>
              <w:bottom w:val="single" w:sz="1"/>
              <w:right w:val="single" w:sz="1"/>
            </w:tcBorders>
          </w:tcPr>
          <w:p>
            <w:r>
              <w:rPr>
                <w:b w:val="false"/>
                <w:bCs w:val="false"/>
                <w:sz w:val="20"/>
                <w:szCs w:val="20"/>
              </w:rPr>
              <w:t xml:space="preserve">Inbound</w:t>
            </w:r>
          </w:p>
        </w:tc>
        <w:tc>
          <w:tcPr>
            <w:tcBorders>
              <w:top w:val="single" w:sz="1"/>
              <w:left w:val="single" w:sz="1"/>
              <w:bottom w:val="single" w:sz="1"/>
              <w:right w:val="single" w:sz="1"/>
            </w:tcBorders>
          </w:tcPr>
          <w:p>
            <w:r>
              <w:rPr>
                <w:b w:val="false"/>
                <w:bCs w:val="false"/>
                <w:sz w:val="20"/>
                <w:szCs w:val="20"/>
              </w:rPr>
              <w:t xml:space="preserve">SAML 2.0 / OIDC</w:t>
            </w:r>
          </w:p>
        </w:tc>
        <w:tc>
          <w:tcPr>
            <w:tcBorders>
              <w:top w:val="single" w:sz="1"/>
              <w:left w:val="single" w:sz="1"/>
              <w:bottom w:val="single" w:sz="1"/>
              <w:right w:val="single" w:sz="1"/>
            </w:tcBorders>
          </w:tcPr>
          <w:p>
            <w:r>
              <w:rPr>
                <w:b w:val="false"/>
                <w:bCs w:val="false"/>
                <w:sz w:val="20"/>
                <w:szCs w:val="20"/>
              </w:rPr>
              <w:t xml:space="preserve">Real-time</w:t>
            </w:r>
          </w:p>
        </w:tc>
      </w:tr>
      <w:tr>
        <w:tc>
          <w:tcPr>
            <w:tcBorders>
              <w:top w:val="single" w:sz="1"/>
              <w:left w:val="single" w:sz="1"/>
              <w:bottom w:val="single" w:sz="1"/>
              <w:right w:val="single" w:sz="1"/>
            </w:tcBorders>
          </w:tcPr>
          <w:p>
            <w:r>
              <w:rPr>
                <w:b w:val="false"/>
                <w:bCs w:val="false"/>
                <w:sz w:val="20"/>
                <w:szCs w:val="20"/>
              </w:rPr>
              <w:t xml:space="preserve">Workday HCM</w:t>
            </w:r>
          </w:p>
        </w:tc>
        <w:tc>
          <w:tcPr>
            <w:tcBorders>
              <w:top w:val="single" w:sz="1"/>
              <w:left w:val="single" w:sz="1"/>
              <w:bottom w:val="single" w:sz="1"/>
              <w:right w:val="single" w:sz="1"/>
            </w:tcBorders>
          </w:tcPr>
          <w:p>
            <w:r>
              <w:rPr>
                <w:b w:val="false"/>
                <w:bCs w:val="false"/>
                <w:sz w:val="20"/>
                <w:szCs w:val="20"/>
              </w:rPr>
              <w:t xml:space="preserve">Employee master data</w:t>
            </w:r>
          </w:p>
        </w:tc>
        <w:tc>
          <w:tcPr>
            <w:tcBorders>
              <w:top w:val="single" w:sz="1"/>
              <w:left w:val="single" w:sz="1"/>
              <w:bottom w:val="single" w:sz="1"/>
              <w:right w:val="single" w:sz="1"/>
            </w:tcBorders>
          </w:tcPr>
          <w:p>
            <w:r>
              <w:rPr>
                <w:b w:val="false"/>
                <w:bCs w:val="false"/>
                <w:sz w:val="20"/>
                <w:szCs w:val="20"/>
              </w:rPr>
              <w:t xml:space="preserve">Bidirectional</w:t>
            </w:r>
          </w:p>
        </w:tc>
        <w:tc>
          <w:tcPr>
            <w:tcBorders>
              <w:top w:val="single" w:sz="1"/>
              <w:left w:val="single" w:sz="1"/>
              <w:bottom w:val="single" w:sz="1"/>
              <w:right w:val="single" w:sz="1"/>
            </w:tcBorders>
          </w:tcPr>
          <w:p>
            <w:r>
              <w:rPr>
                <w:b w:val="false"/>
                <w:bCs w:val="false"/>
                <w:sz w:val="20"/>
                <w:szCs w:val="20"/>
              </w:rPr>
              <w:t xml:space="preserve">Workday SOAP + REST</w:t>
            </w:r>
          </w:p>
        </w:tc>
        <w:tc>
          <w:tcPr>
            <w:tcBorders>
              <w:top w:val="single" w:sz="1"/>
              <w:left w:val="single" w:sz="1"/>
              <w:bottom w:val="single" w:sz="1"/>
              <w:right w:val="single" w:sz="1"/>
            </w:tcBorders>
          </w:tcPr>
          <w:p>
            <w:r>
              <w:rPr>
                <w:b w:val="false"/>
                <w:bCs w:val="false"/>
                <w:sz w:val="20"/>
                <w:szCs w:val="20"/>
              </w:rPr>
              <w:t xml:space="preserve">15-min batch</w:t>
            </w:r>
          </w:p>
        </w:tc>
      </w:tr>
      <w:tr>
        <w:tc>
          <w:tcPr>
            <w:tcBorders>
              <w:top w:val="single" w:sz="1"/>
              <w:left w:val="single" w:sz="1"/>
              <w:bottom w:val="single" w:sz="1"/>
              <w:right w:val="single" w:sz="1"/>
            </w:tcBorders>
          </w:tcPr>
          <w:p>
            <w:r>
              <w:rPr>
                <w:b w:val="false"/>
                <w:bCs w:val="false"/>
                <w:sz w:val="20"/>
                <w:szCs w:val="20"/>
              </w:rPr>
              <w:t xml:space="preserve">ServiceNow ITSM</w:t>
            </w:r>
          </w:p>
        </w:tc>
        <w:tc>
          <w:tcPr>
            <w:tcBorders>
              <w:top w:val="single" w:sz="1"/>
              <w:left w:val="single" w:sz="1"/>
              <w:bottom w:val="single" w:sz="1"/>
              <w:right w:val="single" w:sz="1"/>
            </w:tcBorders>
          </w:tcPr>
          <w:p>
            <w:r>
              <w:rPr>
                <w:b w:val="false"/>
                <w:bCs w:val="false"/>
                <w:sz w:val="20"/>
                <w:szCs w:val="20"/>
              </w:rPr>
              <w:t xml:space="preserve">Provisioning workflow</w:t>
            </w:r>
          </w:p>
        </w:tc>
        <w:tc>
          <w:tcPr>
            <w:tcBorders>
              <w:top w:val="single" w:sz="1"/>
              <w:left w:val="single" w:sz="1"/>
              <w:bottom w:val="single" w:sz="1"/>
              <w:right w:val="single" w:sz="1"/>
            </w:tcBorders>
          </w:tcPr>
          <w:p>
            <w:r>
              <w:rPr>
                <w:b w:val="false"/>
                <w:bCs w:val="false"/>
                <w:sz w:val="20"/>
                <w:szCs w:val="20"/>
              </w:rPr>
              <w:t xml:space="preserve">Outbound</w:t>
            </w:r>
          </w:p>
        </w:tc>
        <w:tc>
          <w:tcPr>
            <w:tcBorders>
              <w:top w:val="single" w:sz="1"/>
              <w:left w:val="single" w:sz="1"/>
              <w:bottom w:val="single" w:sz="1"/>
              <w:right w:val="single" w:sz="1"/>
            </w:tcBorders>
          </w:tcPr>
          <w:p>
            <w:r>
              <w:rPr>
                <w:b w:val="false"/>
                <w:bCs w:val="false"/>
                <w:sz w:val="20"/>
                <w:szCs w:val="20"/>
              </w:rPr>
              <w:t xml:space="preserve">REST webhook</w:t>
            </w:r>
          </w:p>
        </w:tc>
        <w:tc>
          <w:tcPr>
            <w:tcBorders>
              <w:top w:val="single" w:sz="1"/>
              <w:left w:val="single" w:sz="1"/>
              <w:bottom w:val="single" w:sz="1"/>
              <w:right w:val="single" w:sz="1"/>
            </w:tcBorders>
          </w:tcPr>
          <w:p>
            <w:r>
              <w:rPr>
                <w:b w:val="false"/>
                <w:bCs w:val="false"/>
                <w:sz w:val="20"/>
                <w:szCs w:val="20"/>
              </w:rPr>
              <w:t xml:space="preserve">Event-driven</w:t>
            </w:r>
          </w:p>
        </w:tc>
      </w:tr>
      <w:tr>
        <w:tc>
          <w:tcPr>
            <w:tcBorders>
              <w:top w:val="single" w:sz="1"/>
              <w:left w:val="single" w:sz="1"/>
              <w:bottom w:val="single" w:sz="1"/>
              <w:right w:val="single" w:sz="1"/>
            </w:tcBorders>
          </w:tcPr>
          <w:p>
            <w:r>
              <w:rPr>
                <w:b w:val="false"/>
                <w:bCs w:val="false"/>
                <w:sz w:val="20"/>
                <w:szCs w:val="20"/>
              </w:rPr>
              <w:t xml:space="preserve">Tableau Cloud</w:t>
            </w:r>
          </w:p>
        </w:tc>
        <w:tc>
          <w:tcPr>
            <w:tcBorders>
              <w:top w:val="single" w:sz="1"/>
              <w:left w:val="single" w:sz="1"/>
              <w:bottom w:val="single" w:sz="1"/>
              <w:right w:val="single" w:sz="1"/>
            </w:tcBorders>
          </w:tcPr>
          <w:p>
            <w:r>
              <w:rPr>
                <w:b w:val="false"/>
                <w:bCs w:val="false"/>
                <w:sz w:val="20"/>
                <w:szCs w:val="20"/>
              </w:rPr>
              <w:t xml:space="preserve">Analytics export</w:t>
            </w:r>
          </w:p>
        </w:tc>
        <w:tc>
          <w:tcPr>
            <w:tcBorders>
              <w:top w:val="single" w:sz="1"/>
              <w:left w:val="single" w:sz="1"/>
              <w:bottom w:val="single" w:sz="1"/>
              <w:right w:val="single" w:sz="1"/>
            </w:tcBorders>
          </w:tcPr>
          <w:p>
            <w:r>
              <w:rPr>
                <w:b w:val="false"/>
                <w:bCs w:val="false"/>
                <w:sz w:val="20"/>
                <w:szCs w:val="20"/>
              </w:rPr>
              <w:t xml:space="preserve">Outbound</w:t>
            </w:r>
          </w:p>
        </w:tc>
        <w:tc>
          <w:tcPr>
            <w:tcBorders>
              <w:top w:val="single" w:sz="1"/>
              <w:left w:val="single" w:sz="1"/>
              <w:bottom w:val="single" w:sz="1"/>
              <w:right w:val="single" w:sz="1"/>
            </w:tcBorders>
          </w:tcPr>
          <w:p>
            <w:r>
              <w:rPr>
                <w:b w:val="false"/>
                <w:bCs w:val="false"/>
                <w:sz w:val="20"/>
                <w:szCs w:val="20"/>
              </w:rPr>
              <w:t xml:space="preserve">REST / CSV push</w:t>
            </w:r>
          </w:p>
        </w:tc>
        <w:tc>
          <w:tcPr>
            <w:tcBorders>
              <w:top w:val="single" w:sz="1"/>
              <w:left w:val="single" w:sz="1"/>
              <w:bottom w:val="single" w:sz="1"/>
              <w:right w:val="single" w:sz="1"/>
            </w:tcBorders>
          </w:tcPr>
          <w:p>
            <w:r>
              <w:rPr>
                <w:b w:val="false"/>
                <w:bCs w:val="false"/>
                <w:sz w:val="20"/>
                <w:szCs w:val="20"/>
              </w:rPr>
              <w:t xml:space="preserve">Daily 02:00 UTC</w:t>
            </w:r>
          </w:p>
        </w:tc>
      </w:tr>
      <w:tr>
        <w:tc>
          <w:tcPr>
            <w:tcBorders>
              <w:top w:val="single" w:sz="1"/>
              <w:left w:val="single" w:sz="1"/>
              <w:bottom w:val="single" w:sz="1"/>
              <w:right w:val="single" w:sz="1"/>
            </w:tcBorders>
          </w:tcPr>
          <w:p>
            <w:r>
              <w:rPr>
                <w:b w:val="false"/>
                <w:bCs w:val="false"/>
                <w:sz w:val="20"/>
                <w:szCs w:val="20"/>
              </w:rPr>
              <w:t xml:space="preserve">Microsoft Teams</w:t>
            </w:r>
          </w:p>
        </w:tc>
        <w:tc>
          <w:tcPr>
            <w:tcBorders>
              <w:top w:val="single" w:sz="1"/>
              <w:left w:val="single" w:sz="1"/>
              <w:bottom w:val="single" w:sz="1"/>
              <w:right w:val="single" w:sz="1"/>
            </w:tcBorders>
          </w:tcPr>
          <w:p>
            <w:r>
              <w:rPr>
                <w:b w:val="false"/>
                <w:bCs w:val="false"/>
                <w:sz w:val="20"/>
                <w:szCs w:val="20"/>
              </w:rPr>
              <w:t xml:space="preserve">Candidate notifications</w:t>
            </w:r>
          </w:p>
        </w:tc>
        <w:tc>
          <w:tcPr>
            <w:tcBorders>
              <w:top w:val="single" w:sz="1"/>
              <w:left w:val="single" w:sz="1"/>
              <w:bottom w:val="single" w:sz="1"/>
              <w:right w:val="single" w:sz="1"/>
            </w:tcBorders>
          </w:tcPr>
          <w:p>
            <w:r>
              <w:rPr>
                <w:b w:val="false"/>
                <w:bCs w:val="false"/>
                <w:sz w:val="20"/>
                <w:szCs w:val="20"/>
              </w:rPr>
              <w:t xml:space="preserve">Outbound</w:t>
            </w:r>
          </w:p>
        </w:tc>
        <w:tc>
          <w:tcPr>
            <w:tcBorders>
              <w:top w:val="single" w:sz="1"/>
              <w:left w:val="single" w:sz="1"/>
              <w:bottom w:val="single" w:sz="1"/>
              <w:right w:val="single" w:sz="1"/>
            </w:tcBorders>
          </w:tcPr>
          <w:p>
            <w:r>
              <w:rPr>
                <w:b w:val="false"/>
                <w:bCs w:val="false"/>
                <w:sz w:val="20"/>
                <w:szCs w:val="20"/>
              </w:rPr>
              <w:t xml:space="preserve">Graph API / Bot Framework</w:t>
            </w:r>
          </w:p>
        </w:tc>
        <w:tc>
          <w:tcPr>
            <w:tcBorders>
              <w:top w:val="single" w:sz="1"/>
              <w:left w:val="single" w:sz="1"/>
              <w:bottom w:val="single" w:sz="1"/>
              <w:right w:val="single" w:sz="1"/>
            </w:tcBorders>
          </w:tcPr>
          <w:p>
            <w:r>
              <w:rPr>
                <w:b w:val="false"/>
                <w:bCs w:val="false"/>
                <w:sz w:val="20"/>
                <w:szCs w:val="20"/>
              </w:rPr>
              <w:t xml:space="preserve">Real-time</w:t>
            </w:r>
          </w:p>
        </w:tc>
      </w:tr>
      <w:tr>
        <w:tc>
          <w:tcPr>
            <w:tcBorders>
              <w:top w:val="single" w:sz="1"/>
              <w:left w:val="single" w:sz="1"/>
              <w:bottom w:val="single" w:sz="1"/>
              <w:right w:val="single" w:sz="1"/>
            </w:tcBorders>
          </w:tcPr>
          <w:p>
            <w:r>
              <w:rPr>
                <w:b w:val="false"/>
                <w:bCs w:val="false"/>
                <w:sz w:val="20"/>
                <w:szCs w:val="20"/>
              </w:rPr>
              <w:t xml:space="preserve">Custom Data Warehouse (Snowflake)</w:t>
            </w:r>
          </w:p>
        </w:tc>
        <w:tc>
          <w:tcPr>
            <w:tcBorders>
              <w:top w:val="single" w:sz="1"/>
              <w:left w:val="single" w:sz="1"/>
              <w:bottom w:val="single" w:sz="1"/>
              <w:right w:val="single" w:sz="1"/>
            </w:tcBorders>
          </w:tcPr>
          <w:p>
            <w:r>
              <w:rPr>
                <w:b w:val="false"/>
                <w:bCs w:val="false"/>
                <w:sz w:val="20"/>
                <w:szCs w:val="20"/>
              </w:rPr>
              <w:t xml:space="preserve">Full data export</w:t>
            </w:r>
          </w:p>
        </w:tc>
        <w:tc>
          <w:tcPr>
            <w:tcBorders>
              <w:top w:val="single" w:sz="1"/>
              <w:left w:val="single" w:sz="1"/>
              <w:bottom w:val="single" w:sz="1"/>
              <w:right w:val="single" w:sz="1"/>
            </w:tcBorders>
          </w:tcPr>
          <w:p>
            <w:r>
              <w:rPr>
                <w:b w:val="false"/>
                <w:bCs w:val="false"/>
                <w:sz w:val="20"/>
                <w:szCs w:val="20"/>
              </w:rPr>
              <w:t xml:space="preserve">Outbound</w:t>
            </w:r>
          </w:p>
        </w:tc>
        <w:tc>
          <w:tcPr>
            <w:tcBorders>
              <w:top w:val="single" w:sz="1"/>
              <w:left w:val="single" w:sz="1"/>
              <w:bottom w:val="single" w:sz="1"/>
              <w:right w:val="single" w:sz="1"/>
            </w:tcBorders>
          </w:tcPr>
          <w:p>
            <w:r>
              <w:rPr>
                <w:b w:val="false"/>
                <w:bCs w:val="false"/>
                <w:sz w:val="20"/>
                <w:szCs w:val="20"/>
              </w:rPr>
              <w:t xml:space="preserve">JDBC / Snowpipe</w:t>
            </w:r>
          </w:p>
        </w:tc>
        <w:tc>
          <w:tcPr>
            <w:tcBorders>
              <w:top w:val="single" w:sz="1"/>
              <w:left w:val="single" w:sz="1"/>
              <w:bottom w:val="single" w:sz="1"/>
              <w:right w:val="single" w:sz="1"/>
            </w:tcBorders>
          </w:tcPr>
          <w:p>
            <w:r>
              <w:rPr>
                <w:b w:val="false"/>
                <w:bCs w:val="false"/>
                <w:sz w:val="20"/>
                <w:szCs w:val="20"/>
              </w:rPr>
              <w:t xml:space="preserve">Nightly</w:t>
            </w:r>
          </w:p>
        </w:tc>
      </w:tr>
    </w:tbl>
    <w:p>
      <w:pPr>
        <w:spacing w:after="200"/>
      </w:pPr>
    </w:p>
    <w:p>
      <w:pPr>
        <w:pStyle w:val="Heading2"/>
        <w:spacing w:after="120" w:before="300"/>
      </w:pPr>
      <w:r>
        <w:t xml:space="preserve">2.3 Data Model Requirements</w:t>
      </w:r>
    </w:p>
    <w:p>
      <w:pPr>
        <w:pStyle w:val="ListParagraph"/>
        <w:numPr>
          <w:ilvl w:val="0"/>
          <w:numId w:val="1"/>
        </w:numPr>
        <w:spacing w:after="80"/>
      </w:pPr>
      <w:r>
        <w:rPr>
          <w:sz w:val="22"/>
          <w:szCs w:val="22"/>
        </w:rPr>
        <w:t xml:space="preserve">Candidate profiles must conform to the HR Open Standards Consortium (HR-Open) Candidate schema v4.3</w:t>
      </w:r>
    </w:p>
    <w:p>
      <w:pPr>
        <w:pStyle w:val="ListParagraph"/>
        <w:numPr>
          <w:ilvl w:val="0"/>
          <w:numId w:val="1"/>
        </w:numPr>
        <w:spacing w:after="80"/>
      </w:pPr>
      <w:r>
        <w:rPr>
          <w:sz w:val="22"/>
          <w:szCs w:val="22"/>
        </w:rPr>
        <w:t xml:space="preserve">All PII fields must be tagged with GDPR lawful basis and data-subject-rights flags</w:t>
      </w:r>
    </w:p>
    <w:p>
      <w:pPr>
        <w:pStyle w:val="ListParagraph"/>
        <w:numPr>
          <w:ilvl w:val="0"/>
          <w:numId w:val="1"/>
        </w:numPr>
        <w:spacing w:after="80"/>
      </w:pPr>
      <w:r>
        <w:rPr>
          <w:sz w:val="22"/>
          <w:szCs w:val="22"/>
        </w:rPr>
        <w:t xml:space="preserve">Assessment results must be exportable as JSON-LD with schema.org/EducationalOccupationalCredential context</w:t>
      </w:r>
    </w:p>
    <w:p>
      <w:pPr>
        <w:pStyle w:val="ListParagraph"/>
        <w:numPr>
          <w:ilvl w:val="0"/>
          <w:numId w:val="1"/>
        </w:numPr>
        <w:spacing w:after="80"/>
      </w:pPr>
      <w:r>
        <w:rPr>
          <w:sz w:val="22"/>
          <w:szCs w:val="22"/>
        </w:rPr>
        <w:t xml:space="preserve">Vendor must provide a full entity-relationship diagram and data dictionary as part of the proposal</w:t>
      </w:r>
    </w:p>
    <w:p>
      <w:pPr>
        <w:pStyle w:val="Heading2"/>
        <w:spacing w:after="120" w:before="300"/>
      </w:pPr>
      <w:r>
        <w:t xml:space="preserve">3. Security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sz="1"/>
              <w:left w:val="single" w:sz="1"/>
              <w:bottom w:val="single" w:sz="1"/>
              <w:right w:val="single" w:sz="1"/>
            </w:tcBorders>
          </w:tcPr>
          <w:p>
            <w:r>
              <w:rPr>
                <w:b/>
                <w:bCs/>
                <w:sz w:val="20"/>
                <w:szCs w:val="20"/>
              </w:rPr>
              <w:t xml:space="preserve">Control</w:t>
            </w:r>
          </w:p>
        </w:tc>
        <w:tc>
          <w:tcPr>
            <w:tcBorders>
              <w:top w:val="single" w:sz="1"/>
              <w:left w:val="single" w:sz="1"/>
              <w:bottom w:val="single" w:sz="1"/>
              <w:right w:val="single" w:sz="1"/>
            </w:tcBorders>
          </w:tcPr>
          <w:p>
            <w:r>
              <w:rPr>
                <w:b/>
                <w:bCs/>
                <w:sz w:val="20"/>
                <w:szCs w:val="20"/>
              </w:rPr>
              <w:t xml:space="preserve">Requirement</w:t>
            </w:r>
          </w:p>
        </w:tc>
        <w:tc>
          <w:tcPr>
            <w:tcBorders>
              <w:top w:val="single" w:sz="1"/>
              <w:left w:val="single" w:sz="1"/>
              <w:bottom w:val="single" w:sz="1"/>
              <w:right w:val="single" w:sz="1"/>
            </w:tcBorders>
          </w:tcPr>
          <w:p>
            <w:r>
              <w:rPr>
                <w:b/>
                <w:bCs/>
                <w:sz w:val="20"/>
                <w:szCs w:val="20"/>
              </w:rPr>
              <w:t xml:space="preserve">Evidence Required</w:t>
            </w:r>
          </w:p>
        </w:tc>
      </w:tr>
      <w:tr>
        <w:tc>
          <w:tcPr>
            <w:tcBorders>
              <w:top w:val="single" w:sz="1"/>
              <w:left w:val="single" w:sz="1"/>
              <w:bottom w:val="single" w:sz="1"/>
              <w:right w:val="single" w:sz="1"/>
            </w:tcBorders>
          </w:tcPr>
          <w:p>
            <w:r>
              <w:rPr>
                <w:b w:val="false"/>
                <w:bCs w:val="false"/>
                <w:sz w:val="20"/>
                <w:szCs w:val="20"/>
              </w:rPr>
              <w:t xml:space="preserve">Penetration testing</w:t>
            </w:r>
          </w:p>
        </w:tc>
        <w:tc>
          <w:tcPr>
            <w:tcBorders>
              <w:top w:val="single" w:sz="1"/>
              <w:left w:val="single" w:sz="1"/>
              <w:bottom w:val="single" w:sz="1"/>
              <w:right w:val="single" w:sz="1"/>
            </w:tcBorders>
          </w:tcPr>
          <w:p>
            <w:r>
              <w:rPr>
                <w:b w:val="false"/>
                <w:bCs w:val="false"/>
                <w:sz w:val="20"/>
                <w:szCs w:val="20"/>
              </w:rPr>
              <w:t xml:space="preserve">Annual external pen test by CREST-accredited firm</w:t>
            </w:r>
          </w:p>
        </w:tc>
        <w:tc>
          <w:tcPr>
            <w:tcBorders>
              <w:top w:val="single" w:sz="1"/>
              <w:left w:val="single" w:sz="1"/>
              <w:bottom w:val="single" w:sz="1"/>
              <w:right w:val="single" w:sz="1"/>
            </w:tcBorders>
          </w:tcPr>
          <w:p>
            <w:r>
              <w:rPr>
                <w:b w:val="false"/>
                <w:bCs w:val="false"/>
                <w:sz w:val="20"/>
                <w:szCs w:val="20"/>
              </w:rPr>
              <w:t xml:space="preserve">Report summary (last 12 months)</w:t>
            </w:r>
          </w:p>
        </w:tc>
      </w:tr>
      <w:tr>
        <w:tc>
          <w:tcPr>
            <w:tcBorders>
              <w:top w:val="single" w:sz="1"/>
              <w:left w:val="single" w:sz="1"/>
              <w:bottom w:val="single" w:sz="1"/>
              <w:right w:val="single" w:sz="1"/>
            </w:tcBorders>
          </w:tcPr>
          <w:p>
            <w:r>
              <w:rPr>
                <w:b w:val="false"/>
                <w:bCs w:val="false"/>
                <w:sz w:val="20"/>
                <w:szCs w:val="20"/>
              </w:rPr>
              <w:t xml:space="preserve">Vulnerability management</w:t>
            </w:r>
          </w:p>
        </w:tc>
        <w:tc>
          <w:tcPr>
            <w:tcBorders>
              <w:top w:val="single" w:sz="1"/>
              <w:left w:val="single" w:sz="1"/>
              <w:bottom w:val="single" w:sz="1"/>
              <w:right w:val="single" w:sz="1"/>
            </w:tcBorders>
          </w:tcPr>
          <w:p>
            <w:r>
              <w:rPr>
                <w:b w:val="false"/>
                <w:bCs w:val="false"/>
                <w:sz w:val="20"/>
                <w:szCs w:val="20"/>
              </w:rPr>
              <w:t xml:space="preserve">Critical CVEs patched within 24 hours</w:t>
            </w:r>
          </w:p>
        </w:tc>
        <w:tc>
          <w:tcPr>
            <w:tcBorders>
              <w:top w:val="single" w:sz="1"/>
              <w:left w:val="single" w:sz="1"/>
              <w:bottom w:val="single" w:sz="1"/>
              <w:right w:val="single" w:sz="1"/>
            </w:tcBorders>
          </w:tcPr>
          <w:p>
            <w:r>
              <w:rPr>
                <w:b w:val="false"/>
                <w:bCs w:val="false"/>
                <w:sz w:val="20"/>
                <w:szCs w:val="20"/>
              </w:rPr>
              <w:t xml:space="preserve">SLA commitment in contract</w:t>
            </w:r>
          </w:p>
        </w:tc>
      </w:tr>
      <w:tr>
        <w:tc>
          <w:tcPr>
            <w:tcBorders>
              <w:top w:val="single" w:sz="1"/>
              <w:left w:val="single" w:sz="1"/>
              <w:bottom w:val="single" w:sz="1"/>
              <w:right w:val="single" w:sz="1"/>
            </w:tcBorders>
          </w:tcPr>
          <w:p>
            <w:r>
              <w:rPr>
                <w:b w:val="false"/>
                <w:bCs w:val="false"/>
                <w:sz w:val="20"/>
                <w:szCs w:val="20"/>
              </w:rPr>
              <w:t xml:space="preserve">Encryption at rest</w:t>
            </w:r>
          </w:p>
        </w:tc>
        <w:tc>
          <w:tcPr>
            <w:tcBorders>
              <w:top w:val="single" w:sz="1"/>
              <w:left w:val="single" w:sz="1"/>
              <w:bottom w:val="single" w:sz="1"/>
              <w:right w:val="single" w:sz="1"/>
            </w:tcBorders>
          </w:tcPr>
          <w:p>
            <w:r>
              <w:rPr>
                <w:b w:val="false"/>
                <w:bCs w:val="false"/>
                <w:sz w:val="20"/>
                <w:szCs w:val="20"/>
              </w:rPr>
              <w:t xml:space="preserve">AES-256 for all PII and assessment content</w:t>
            </w:r>
          </w:p>
        </w:tc>
        <w:tc>
          <w:tcPr>
            <w:tcBorders>
              <w:top w:val="single" w:sz="1"/>
              <w:left w:val="single" w:sz="1"/>
              <w:bottom w:val="single" w:sz="1"/>
              <w:right w:val="single" w:sz="1"/>
            </w:tcBorders>
          </w:tcPr>
          <w:p>
            <w:r>
              <w:rPr>
                <w:b w:val="false"/>
                <w:bCs w:val="false"/>
                <w:sz w:val="20"/>
                <w:szCs w:val="20"/>
              </w:rPr>
              <w:t xml:space="preserve">Architecture diagram</w:t>
            </w:r>
          </w:p>
        </w:tc>
      </w:tr>
      <w:tr>
        <w:tc>
          <w:tcPr>
            <w:tcBorders>
              <w:top w:val="single" w:sz="1"/>
              <w:left w:val="single" w:sz="1"/>
              <w:bottom w:val="single" w:sz="1"/>
              <w:right w:val="single" w:sz="1"/>
            </w:tcBorders>
          </w:tcPr>
          <w:p>
            <w:r>
              <w:rPr>
                <w:b w:val="false"/>
                <w:bCs w:val="false"/>
                <w:sz w:val="20"/>
                <w:szCs w:val="20"/>
              </w:rPr>
              <w:t xml:space="preserve">Encryption in transit</w:t>
            </w:r>
          </w:p>
        </w:tc>
        <w:tc>
          <w:tcPr>
            <w:tcBorders>
              <w:top w:val="single" w:sz="1"/>
              <w:left w:val="single" w:sz="1"/>
              <w:bottom w:val="single" w:sz="1"/>
              <w:right w:val="single" w:sz="1"/>
            </w:tcBorders>
          </w:tcPr>
          <w:p>
            <w:r>
              <w:rPr>
                <w:b w:val="false"/>
                <w:bCs w:val="false"/>
                <w:sz w:val="20"/>
                <w:szCs w:val="20"/>
              </w:rPr>
              <w:t xml:space="preserve">TLS 1.3 minimum; TLS 1.2 with approved cipher suites</w:t>
            </w:r>
          </w:p>
        </w:tc>
        <w:tc>
          <w:tcPr>
            <w:tcBorders>
              <w:top w:val="single" w:sz="1"/>
              <w:left w:val="single" w:sz="1"/>
              <w:bottom w:val="single" w:sz="1"/>
              <w:right w:val="single" w:sz="1"/>
            </w:tcBorders>
          </w:tcPr>
          <w:p>
            <w:r>
              <w:rPr>
                <w:b w:val="false"/>
                <w:bCs w:val="false"/>
                <w:sz w:val="20"/>
                <w:szCs w:val="20"/>
              </w:rPr>
              <w:t xml:space="preserve">TLS scan report</w:t>
            </w:r>
          </w:p>
        </w:tc>
      </w:tr>
      <w:tr>
        <w:tc>
          <w:tcPr>
            <w:tcBorders>
              <w:top w:val="single" w:sz="1"/>
              <w:left w:val="single" w:sz="1"/>
              <w:bottom w:val="single" w:sz="1"/>
              <w:right w:val="single" w:sz="1"/>
            </w:tcBorders>
          </w:tcPr>
          <w:p>
            <w:r>
              <w:rPr>
                <w:b w:val="false"/>
                <w:bCs w:val="false"/>
                <w:sz w:val="20"/>
                <w:szCs w:val="20"/>
              </w:rPr>
              <w:t xml:space="preserve">Access control</w:t>
            </w:r>
          </w:p>
        </w:tc>
        <w:tc>
          <w:tcPr>
            <w:tcBorders>
              <w:top w:val="single" w:sz="1"/>
              <w:left w:val="single" w:sz="1"/>
              <w:bottom w:val="single" w:sz="1"/>
              <w:right w:val="single" w:sz="1"/>
            </w:tcBorders>
          </w:tcPr>
          <w:p>
            <w:r>
              <w:rPr>
                <w:b w:val="false"/>
                <w:bCs w:val="false"/>
                <w:sz w:val="20"/>
                <w:szCs w:val="20"/>
              </w:rPr>
              <w:t xml:space="preserve">RBAC with principle of least privilege; MFA enforced for admins</w:t>
            </w:r>
          </w:p>
        </w:tc>
        <w:tc>
          <w:tcPr>
            <w:tcBorders>
              <w:top w:val="single" w:sz="1"/>
              <w:left w:val="single" w:sz="1"/>
              <w:bottom w:val="single" w:sz="1"/>
              <w:right w:val="single" w:sz="1"/>
            </w:tcBorders>
          </w:tcPr>
          <w:p>
            <w:r>
              <w:rPr>
                <w:b w:val="false"/>
                <w:bCs w:val="false"/>
                <w:sz w:val="20"/>
                <w:szCs w:val="20"/>
              </w:rPr>
              <w:t xml:space="preserve">Config screenshots</w:t>
            </w:r>
          </w:p>
        </w:tc>
      </w:tr>
      <w:tr>
        <w:tc>
          <w:tcPr>
            <w:tcBorders>
              <w:top w:val="single" w:sz="1"/>
              <w:left w:val="single" w:sz="1"/>
              <w:bottom w:val="single" w:sz="1"/>
              <w:right w:val="single" w:sz="1"/>
            </w:tcBorders>
          </w:tcPr>
          <w:p>
            <w:r>
              <w:rPr>
                <w:b w:val="false"/>
                <w:bCs w:val="false"/>
                <w:sz w:val="20"/>
                <w:szCs w:val="20"/>
              </w:rPr>
              <w:t xml:space="preserve">Audit logging</w:t>
            </w:r>
          </w:p>
        </w:tc>
        <w:tc>
          <w:tcPr>
            <w:tcBorders>
              <w:top w:val="single" w:sz="1"/>
              <w:left w:val="single" w:sz="1"/>
              <w:bottom w:val="single" w:sz="1"/>
              <w:right w:val="single" w:sz="1"/>
            </w:tcBorders>
          </w:tcPr>
          <w:p>
            <w:r>
              <w:rPr>
                <w:b w:val="false"/>
                <w:bCs w:val="false"/>
                <w:sz w:val="20"/>
                <w:szCs w:val="20"/>
              </w:rPr>
              <w:t xml:space="preserve">Immutable audit log; 2-year retention; SIEM-exportable (CEF/LEEF)</w:t>
            </w:r>
          </w:p>
        </w:tc>
        <w:tc>
          <w:tcPr>
            <w:tcBorders>
              <w:top w:val="single" w:sz="1"/>
              <w:left w:val="single" w:sz="1"/>
              <w:bottom w:val="single" w:sz="1"/>
              <w:right w:val="single" w:sz="1"/>
            </w:tcBorders>
          </w:tcPr>
          <w:p>
            <w:r>
              <w:rPr>
                <w:b w:val="false"/>
                <w:bCs w:val="false"/>
                <w:sz w:val="20"/>
                <w:szCs w:val="20"/>
              </w:rPr>
              <w:t xml:space="preserve">Log sample</w:t>
            </w:r>
          </w:p>
        </w:tc>
      </w:tr>
      <w:tr>
        <w:tc>
          <w:tcPr>
            <w:tcBorders>
              <w:top w:val="single" w:sz="1"/>
              <w:left w:val="single" w:sz="1"/>
              <w:bottom w:val="single" w:sz="1"/>
              <w:right w:val="single" w:sz="1"/>
            </w:tcBorders>
          </w:tcPr>
          <w:p>
            <w:r>
              <w:rPr>
                <w:b w:val="false"/>
                <w:bCs w:val="false"/>
                <w:sz w:val="20"/>
                <w:szCs w:val="20"/>
              </w:rPr>
              <w:t xml:space="preserve">GDPR / data subjects</w:t>
            </w:r>
          </w:p>
        </w:tc>
        <w:tc>
          <w:tcPr>
            <w:tcBorders>
              <w:top w:val="single" w:sz="1"/>
              <w:left w:val="single" w:sz="1"/>
              <w:bottom w:val="single" w:sz="1"/>
              <w:right w:val="single" w:sz="1"/>
            </w:tcBorders>
          </w:tcPr>
          <w:p>
            <w:r>
              <w:rPr>
                <w:b w:val="false"/>
                <w:bCs w:val="false"/>
                <w:sz w:val="20"/>
                <w:szCs w:val="20"/>
              </w:rPr>
              <w:t xml:space="preserve">Right to erasure within 30 days; DPA available for countersigning</w:t>
            </w:r>
          </w:p>
        </w:tc>
        <w:tc>
          <w:tcPr>
            <w:tcBorders>
              <w:top w:val="single" w:sz="1"/>
              <w:left w:val="single" w:sz="1"/>
              <w:bottom w:val="single" w:sz="1"/>
              <w:right w:val="single" w:sz="1"/>
            </w:tcBorders>
          </w:tcPr>
          <w:p>
            <w:r>
              <w:rPr>
                <w:b w:val="false"/>
                <w:bCs w:val="false"/>
                <w:sz w:val="20"/>
                <w:szCs w:val="20"/>
              </w:rPr>
              <w:t xml:space="preserve">Sample DPA</w:t>
            </w:r>
          </w:p>
        </w:tc>
      </w:tr>
      <w:tr>
        <w:tc>
          <w:tcPr>
            <w:tcBorders>
              <w:top w:val="single" w:sz="1"/>
              <w:left w:val="single" w:sz="1"/>
              <w:bottom w:val="single" w:sz="1"/>
              <w:right w:val="single" w:sz="1"/>
            </w:tcBorders>
          </w:tcPr>
          <w:p>
            <w:r>
              <w:rPr>
                <w:b w:val="false"/>
                <w:bCs w:val="false"/>
                <w:sz w:val="20"/>
                <w:szCs w:val="20"/>
              </w:rPr>
              <w:t xml:space="preserve">Sub-processors</w:t>
            </w:r>
          </w:p>
        </w:tc>
        <w:tc>
          <w:tcPr>
            <w:tcBorders>
              <w:top w:val="single" w:sz="1"/>
              <w:left w:val="single" w:sz="1"/>
              <w:bottom w:val="single" w:sz="1"/>
              <w:right w:val="single" w:sz="1"/>
            </w:tcBorders>
          </w:tcPr>
          <w:p>
            <w:r>
              <w:rPr>
                <w:b w:val="false"/>
                <w:bCs w:val="false"/>
                <w:sz w:val="20"/>
                <w:szCs w:val="20"/>
              </w:rPr>
              <w:t xml:space="preserve">List of all sub-processors; prior written consent required for changes</w:t>
            </w:r>
          </w:p>
        </w:tc>
        <w:tc>
          <w:tcPr>
            <w:tcBorders>
              <w:top w:val="single" w:sz="1"/>
              <w:left w:val="single" w:sz="1"/>
              <w:bottom w:val="single" w:sz="1"/>
              <w:right w:val="single" w:sz="1"/>
            </w:tcBorders>
          </w:tcPr>
          <w:p>
            <w:r>
              <w:rPr>
                <w:b w:val="false"/>
                <w:bCs w:val="false"/>
                <w:sz w:val="20"/>
                <w:szCs w:val="20"/>
              </w:rPr>
              <w:t xml:space="preserve">Sub-processor list</w:t>
            </w:r>
          </w:p>
        </w:tc>
      </w:tr>
    </w:tbl>
    <w:p>
      <w:pPr>
        <w:spacing w:after="200"/>
      </w:pPr>
    </w:p>
    <w:p>
      <w:pPr>
        <w:pStyle w:val="Heading2"/>
        <w:spacing w:after="120" w:before="300"/>
      </w:pPr>
      <w:r>
        <w:t xml:space="preserve">4. Performance &amp; Scalability</w:t>
      </w:r>
    </w:p>
    <w:p>
      <w:pPr>
        <w:spacing w:after="120"/>
      </w:pPr>
      <w:r>
        <w:rPr>
          <w:sz w:val="22"/>
          <w:szCs w:val="22"/>
        </w:rPr>
        <w:t xml:space="preserve">The following benchmarks must be demonstrated in a live proof-of-concept (POC) environment during evaluation:</w:t>
      </w:r>
    </w:p>
    <w:p>
      <w:pPr>
        <w:pStyle w:val="ListParagraph"/>
        <w:numPr>
          <w:ilvl w:val="0"/>
          <w:numId w:val="1"/>
        </w:numPr>
        <w:spacing w:after="80"/>
      </w:pPr>
      <w:r>
        <w:rPr>
          <w:sz w:val="22"/>
          <w:szCs w:val="22"/>
        </w:rPr>
        <w:t xml:space="preserve">10,000 concurrent assessment takers without degradation</w:t>
      </w:r>
    </w:p>
    <w:p>
      <w:pPr>
        <w:pStyle w:val="ListParagraph"/>
        <w:numPr>
          <w:ilvl w:val="0"/>
          <w:numId w:val="1"/>
        </w:numPr>
        <w:spacing w:after="80"/>
      </w:pPr>
      <w:r>
        <w:rPr>
          <w:sz w:val="22"/>
          <w:szCs w:val="22"/>
        </w:rPr>
        <w:t xml:space="preserve">API response time p99 &lt; 500 ms for all read operations</w:t>
      </w:r>
    </w:p>
    <w:p>
      <w:pPr>
        <w:pStyle w:val="ListParagraph"/>
        <w:numPr>
          <w:ilvl w:val="0"/>
          <w:numId w:val="1"/>
        </w:numPr>
        <w:spacing w:after="80"/>
      </w:pPr>
      <w:r>
        <w:rPr>
          <w:sz w:val="22"/>
          <w:szCs w:val="22"/>
        </w:rPr>
        <w:t xml:space="preserve">Assessment result sync to Workday within 5 minutes of completion</w:t>
      </w:r>
    </w:p>
    <w:p>
      <w:pPr>
        <w:pStyle w:val="ListParagraph"/>
        <w:numPr>
          <w:ilvl w:val="0"/>
          <w:numId w:val="1"/>
        </w:numPr>
        <w:spacing w:after="80"/>
      </w:pPr>
      <w:r>
        <w:rPr>
          <w:sz w:val="22"/>
          <w:szCs w:val="22"/>
        </w:rPr>
        <w:t xml:space="preserve">Bulk import of 50,000 candidate records completed within 30 minutes</w:t>
      </w:r>
    </w:p>
    <w:p>
      <w:pPr>
        <w:pStyle w:val="Heading2"/>
        <w:spacing w:after="120" w:before="300"/>
      </w:pPr>
      <w:r>
        <w:t xml:space="preserve">5. Accessibility &amp; Localisation</w:t>
      </w:r>
    </w:p>
    <w:p>
      <w:pPr>
        <w:pStyle w:val="ListParagraph"/>
        <w:numPr>
          <w:ilvl w:val="0"/>
          <w:numId w:val="1"/>
        </w:numPr>
        <w:spacing w:after="80"/>
      </w:pPr>
      <w:r>
        <w:rPr>
          <w:sz w:val="22"/>
          <w:szCs w:val="22"/>
        </w:rPr>
        <w:t xml:space="preserve">WCAG 2.1 Level AA conformance — third-party audit report required</w:t>
      </w:r>
    </w:p>
    <w:p>
      <w:pPr>
        <w:pStyle w:val="ListParagraph"/>
        <w:numPr>
          <w:ilvl w:val="0"/>
          <w:numId w:val="1"/>
        </w:numPr>
        <w:spacing w:after="80"/>
      </w:pPr>
      <w:r>
        <w:rPr>
          <w:sz w:val="22"/>
          <w:szCs w:val="22"/>
        </w:rPr>
        <w:t xml:space="preserve">Right-to-left (RTL) language support: Arabic, Hebrew</w:t>
      </w:r>
    </w:p>
    <w:p>
      <w:pPr>
        <w:pStyle w:val="ListParagraph"/>
        <w:numPr>
          <w:ilvl w:val="0"/>
          <w:numId w:val="1"/>
        </w:numPr>
        <w:spacing w:after="80"/>
      </w:pPr>
      <w:r>
        <w:rPr>
          <w:sz w:val="22"/>
          <w:szCs w:val="22"/>
        </w:rPr>
        <w:t xml:space="preserve">Localised UI in: English, French, German, Spanish, Mandarin, Japanese, Arabic</w:t>
      </w:r>
    </w:p>
    <w:p>
      <w:pPr>
        <w:pStyle w:val="ListParagraph"/>
        <w:numPr>
          <w:ilvl w:val="0"/>
          <w:numId w:val="1"/>
        </w:numPr>
        <w:spacing w:after="80"/>
      </w:pPr>
      <w:r>
        <w:rPr>
          <w:sz w:val="22"/>
          <w:szCs w:val="22"/>
        </w:rPr>
        <w:t xml:space="preserve">Assessment content delivery in all 7 languages above with automatic locale detection</w:t>
      </w:r>
    </w:p>
    <w:p>
      <w:pPr>
        <w:pStyle w:val="Heading2"/>
        <w:spacing w:after="120" w:before="300"/>
      </w:pPr>
      <w:r>
        <w:t xml:space="preserve">6. Vendor Evaluation — Technical Scoring</w:t>
      </w:r>
    </w:p>
    <w:p>
      <w:pPr>
        <w:spacing w:after="120"/>
      </w:pPr>
      <w:r>
        <w:rPr>
          <w:sz w:val="22"/>
          <w:szCs w:val="22"/>
        </w:rPr>
        <w:t xml:space="preserve">Technical scoring (60% of total RFP score) will be assessed across these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sz="1"/>
              <w:left w:val="single" w:sz="1"/>
              <w:bottom w:val="single" w:sz="1"/>
              <w:right w:val="single" w:sz="1"/>
            </w:tcBorders>
          </w:tcPr>
          <w:p>
            <w:r>
              <w:rPr>
                <w:b/>
                <w:bCs/>
                <w:sz w:val="20"/>
                <w:szCs w:val="20"/>
              </w:rPr>
              <w:t xml:space="preserve">Dimension</w:t>
            </w:r>
          </w:p>
        </w:tc>
        <w:tc>
          <w:tcPr>
            <w:tcBorders>
              <w:top w:val="single" w:sz="1"/>
              <w:left w:val="single" w:sz="1"/>
              <w:bottom w:val="single" w:sz="1"/>
              <w:right w:val="single" w:sz="1"/>
            </w:tcBorders>
          </w:tcPr>
          <w:p>
            <w:r>
              <w:rPr>
                <w:b/>
                <w:bCs/>
                <w:sz w:val="20"/>
                <w:szCs w:val="20"/>
              </w:rPr>
              <w:t xml:space="preserve">Max Points</w:t>
            </w:r>
          </w:p>
        </w:tc>
        <w:tc>
          <w:tcPr>
            <w:tcBorders>
              <w:top w:val="single" w:sz="1"/>
              <w:left w:val="single" w:sz="1"/>
              <w:bottom w:val="single" w:sz="1"/>
              <w:right w:val="single" w:sz="1"/>
            </w:tcBorders>
          </w:tcPr>
          <w:p>
            <w:r>
              <w:rPr>
                <w:b/>
                <w:bCs/>
                <w:sz w:val="20"/>
                <w:szCs w:val="20"/>
              </w:rPr>
              <w:t xml:space="preserve">Assessment Method</w:t>
            </w:r>
          </w:p>
        </w:tc>
      </w:tr>
      <w:tr>
        <w:tc>
          <w:tcPr>
            <w:tcBorders>
              <w:top w:val="single" w:sz="1"/>
              <w:left w:val="single" w:sz="1"/>
              <w:bottom w:val="single" w:sz="1"/>
              <w:right w:val="single" w:sz="1"/>
            </w:tcBorders>
          </w:tcPr>
          <w:p>
            <w:r>
              <w:rPr>
                <w:b w:val="false"/>
                <w:bCs w:val="false"/>
                <w:sz w:val="20"/>
                <w:szCs w:val="20"/>
              </w:rPr>
              <w:t xml:space="preserve">API completeness &amp; documentation quality</w:t>
            </w:r>
          </w:p>
        </w:tc>
        <w:tc>
          <w:tcPr>
            <w:tcBorders>
              <w:top w:val="single" w:sz="1"/>
              <w:left w:val="single" w:sz="1"/>
              <w:bottom w:val="single" w:sz="1"/>
              <w:right w:val="single" w:sz="1"/>
            </w:tcBorders>
          </w:tcPr>
          <w:p>
            <w:r>
              <w:rPr>
                <w:b w:val="false"/>
                <w:bCs w:val="false"/>
                <w:sz w:val="20"/>
                <w:szCs w:val="20"/>
              </w:rPr>
              <w:t xml:space="preserve">20</w:t>
            </w:r>
          </w:p>
        </w:tc>
        <w:tc>
          <w:tcPr>
            <w:tcBorders>
              <w:top w:val="single" w:sz="1"/>
              <w:left w:val="single" w:sz="1"/>
              <w:bottom w:val="single" w:sz="1"/>
              <w:right w:val="single" w:sz="1"/>
            </w:tcBorders>
          </w:tcPr>
          <w:p>
            <w:r>
              <w:rPr>
                <w:b w:val="false"/>
                <w:bCs w:val="false"/>
                <w:sz w:val="20"/>
                <w:szCs w:val="20"/>
              </w:rPr>
              <w:t xml:space="preserve">Document review + sandbox API testing</w:t>
            </w:r>
          </w:p>
        </w:tc>
      </w:tr>
      <w:tr>
        <w:tc>
          <w:tcPr>
            <w:tcBorders>
              <w:top w:val="single" w:sz="1"/>
              <w:left w:val="single" w:sz="1"/>
              <w:bottom w:val="single" w:sz="1"/>
              <w:right w:val="single" w:sz="1"/>
            </w:tcBorders>
          </w:tcPr>
          <w:p>
            <w:r>
              <w:rPr>
                <w:b w:val="false"/>
                <w:bCs w:val="false"/>
                <w:sz w:val="20"/>
                <w:szCs w:val="20"/>
              </w:rPr>
              <w:t xml:space="preserve">Security certifications &amp; controls</w:t>
            </w:r>
          </w:p>
        </w:tc>
        <w:tc>
          <w:tcPr>
            <w:tcBorders>
              <w:top w:val="single" w:sz="1"/>
              <w:left w:val="single" w:sz="1"/>
              <w:bottom w:val="single" w:sz="1"/>
              <w:right w:val="single" w:sz="1"/>
            </w:tcBorders>
          </w:tcPr>
          <w:p>
            <w:r>
              <w:rPr>
                <w:b w:val="false"/>
                <w:bCs w:val="false"/>
                <w:sz w:val="20"/>
                <w:szCs w:val="20"/>
              </w:rPr>
              <w:t xml:space="preserve">15</w:t>
            </w:r>
          </w:p>
        </w:tc>
        <w:tc>
          <w:tcPr>
            <w:tcBorders>
              <w:top w:val="single" w:sz="1"/>
              <w:left w:val="single" w:sz="1"/>
              <w:bottom w:val="single" w:sz="1"/>
              <w:right w:val="single" w:sz="1"/>
            </w:tcBorders>
          </w:tcPr>
          <w:p>
            <w:r>
              <w:rPr>
                <w:b w:val="false"/>
                <w:bCs w:val="false"/>
                <w:sz w:val="20"/>
                <w:szCs w:val="20"/>
              </w:rPr>
              <w:t xml:space="preserve">Certification review + security questionnaire</w:t>
            </w:r>
          </w:p>
        </w:tc>
      </w:tr>
      <w:tr>
        <w:tc>
          <w:tcPr>
            <w:tcBorders>
              <w:top w:val="single" w:sz="1"/>
              <w:left w:val="single" w:sz="1"/>
              <w:bottom w:val="single" w:sz="1"/>
              <w:right w:val="single" w:sz="1"/>
            </w:tcBorders>
          </w:tcPr>
          <w:p>
            <w:r>
              <w:rPr>
                <w:b w:val="false"/>
                <w:bCs w:val="false"/>
                <w:sz w:val="20"/>
                <w:szCs w:val="20"/>
              </w:rPr>
              <w:t xml:space="preserve">Integration with Azure AD + Workday</w:t>
            </w:r>
          </w:p>
        </w:tc>
        <w:tc>
          <w:tcPr>
            <w:tcBorders>
              <w:top w:val="single" w:sz="1"/>
              <w:left w:val="single" w:sz="1"/>
              <w:bottom w:val="single" w:sz="1"/>
              <w:right w:val="single" w:sz="1"/>
            </w:tcBorders>
          </w:tcPr>
          <w:p>
            <w:r>
              <w:rPr>
                <w:b w:val="false"/>
                <w:bCs w:val="false"/>
                <w:sz w:val="20"/>
                <w:szCs w:val="20"/>
              </w:rPr>
              <w:t xml:space="preserve">10</w:t>
            </w:r>
          </w:p>
        </w:tc>
        <w:tc>
          <w:tcPr>
            <w:tcBorders>
              <w:top w:val="single" w:sz="1"/>
              <w:left w:val="single" w:sz="1"/>
              <w:bottom w:val="single" w:sz="1"/>
              <w:right w:val="single" w:sz="1"/>
            </w:tcBorders>
          </w:tcPr>
          <w:p>
            <w:r>
              <w:rPr>
                <w:b w:val="false"/>
                <w:bCs w:val="false"/>
                <w:sz w:val="20"/>
                <w:szCs w:val="20"/>
              </w:rPr>
              <w:t xml:space="preserve">Live POC demonstration</w:t>
            </w:r>
          </w:p>
        </w:tc>
      </w:tr>
      <w:tr>
        <w:tc>
          <w:tcPr>
            <w:tcBorders>
              <w:top w:val="single" w:sz="1"/>
              <w:left w:val="single" w:sz="1"/>
              <w:bottom w:val="single" w:sz="1"/>
              <w:right w:val="single" w:sz="1"/>
            </w:tcBorders>
          </w:tcPr>
          <w:p>
            <w:r>
              <w:rPr>
                <w:b w:val="false"/>
                <w:bCs w:val="false"/>
                <w:sz w:val="20"/>
                <w:szCs w:val="20"/>
              </w:rPr>
              <w:t xml:space="preserve">Data model flexibility &amp; export</w:t>
            </w:r>
          </w:p>
        </w:tc>
        <w:tc>
          <w:tcPr>
            <w:tcBorders>
              <w:top w:val="single" w:sz="1"/>
              <w:left w:val="single" w:sz="1"/>
              <w:bottom w:val="single" w:sz="1"/>
              <w:right w:val="single" w:sz="1"/>
            </w:tcBorders>
          </w:tcPr>
          <w:p>
            <w:r>
              <w:rPr>
                <w:b w:val="false"/>
                <w:bCs w:val="false"/>
                <w:sz w:val="20"/>
                <w:szCs w:val="20"/>
              </w:rPr>
              <w:t xml:space="preserve">8</w:t>
            </w:r>
          </w:p>
        </w:tc>
        <w:tc>
          <w:tcPr>
            <w:tcBorders>
              <w:top w:val="single" w:sz="1"/>
              <w:left w:val="single" w:sz="1"/>
              <w:bottom w:val="single" w:sz="1"/>
              <w:right w:val="single" w:sz="1"/>
            </w:tcBorders>
          </w:tcPr>
          <w:p>
            <w:r>
              <w:rPr>
                <w:b w:val="false"/>
                <w:bCs w:val="false"/>
                <w:sz w:val="20"/>
                <w:szCs w:val="20"/>
              </w:rPr>
              <w:t xml:space="preserve">Schema review + sample export</w:t>
            </w:r>
          </w:p>
        </w:tc>
      </w:tr>
      <w:tr>
        <w:tc>
          <w:tcPr>
            <w:tcBorders>
              <w:top w:val="single" w:sz="1"/>
              <w:left w:val="single" w:sz="1"/>
              <w:bottom w:val="single" w:sz="1"/>
              <w:right w:val="single" w:sz="1"/>
            </w:tcBorders>
          </w:tcPr>
          <w:p>
            <w:r>
              <w:rPr>
                <w:b w:val="false"/>
                <w:bCs w:val="false"/>
                <w:sz w:val="20"/>
                <w:szCs w:val="20"/>
              </w:rPr>
              <w:t xml:space="preserve">Performance benchmark results</w:t>
            </w:r>
          </w:p>
        </w:tc>
        <w:tc>
          <w:tcPr>
            <w:tcBorders>
              <w:top w:val="single" w:sz="1"/>
              <w:left w:val="single" w:sz="1"/>
              <w:bottom w:val="single" w:sz="1"/>
              <w:right w:val="single" w:sz="1"/>
            </w:tcBorders>
          </w:tcPr>
          <w:p>
            <w:r>
              <w:rPr>
                <w:b w:val="false"/>
                <w:bCs w:val="false"/>
                <w:sz w:val="20"/>
                <w:szCs w:val="20"/>
              </w:rPr>
              <w:t xml:space="preserve">7</w:t>
            </w:r>
          </w:p>
        </w:tc>
        <w:tc>
          <w:tcPr>
            <w:tcBorders>
              <w:top w:val="single" w:sz="1"/>
              <w:left w:val="single" w:sz="1"/>
              <w:bottom w:val="single" w:sz="1"/>
              <w:right w:val="single" w:sz="1"/>
            </w:tcBorders>
          </w:tcPr>
          <w:p>
            <w:r>
              <w:rPr>
                <w:b w:val="false"/>
                <w:bCs w:val="false"/>
                <w:sz w:val="20"/>
                <w:szCs w:val="20"/>
              </w:rPr>
              <w:t xml:space="preserve">POC load test results</w:t>
            </w:r>
          </w:p>
        </w:tc>
      </w:tr>
    </w:tbl>
    <w:p>
      <w:pPr>
        <w:spacing w:after="200"/>
      </w:pPr>
    </w:p>
    <w:p>
      <w:pPr>
        <w:pStyle w:val="Heading2"/>
        <w:spacing w:after="120" w:before="300"/>
      </w:pPr>
      <w:r>
        <w:t xml:space="preserve">7. POC Requirements</w:t>
      </w:r>
    </w:p>
    <w:p>
      <w:pPr>
        <w:spacing w:after="120"/>
      </w:pPr>
      <w:r>
        <w:rPr>
          <w:sz w:val="22"/>
          <w:szCs w:val="22"/>
        </w:rPr>
        <w:t xml:space="preserve">Shortlisted vendors (max 3) will be invited to a 2-week POC. The POC must demonstrate:</w:t>
      </w:r>
    </w:p>
    <w:p>
      <w:pPr>
        <w:pStyle w:val="ListParagraph"/>
        <w:numPr>
          <w:ilvl w:val="0"/>
          <w:numId w:val="1"/>
        </w:numPr>
        <w:spacing w:after="80"/>
      </w:pPr>
      <w:r>
        <w:rPr>
          <w:sz w:val="22"/>
          <w:szCs w:val="22"/>
        </w:rPr>
        <w:t xml:space="preserve">Full SSO login flow via GlobalTech's Azure AD tenant (test environment)</w:t>
      </w:r>
    </w:p>
    <w:p>
      <w:pPr>
        <w:pStyle w:val="ListParagraph"/>
        <w:numPr>
          <w:ilvl w:val="0"/>
          <w:numId w:val="1"/>
        </w:numPr>
        <w:spacing w:after="80"/>
      </w:pPr>
      <w:r>
        <w:rPr>
          <w:sz w:val="22"/>
          <w:szCs w:val="22"/>
        </w:rPr>
        <w:t xml:space="preserve">End-to-end assessment: create → assign → complete → sync result to Workday sandbox</w:t>
      </w:r>
    </w:p>
    <w:p>
      <w:pPr>
        <w:pStyle w:val="ListParagraph"/>
        <w:numPr>
          <w:ilvl w:val="0"/>
          <w:numId w:val="1"/>
        </w:numPr>
        <w:spacing w:after="80"/>
      </w:pPr>
      <w:r>
        <w:rPr>
          <w:sz w:val="22"/>
          <w:szCs w:val="22"/>
        </w:rPr>
        <w:t xml:space="preserve">Load test: 1,000 concurrent users for 30 minutes (vendor to provide test plan)</w:t>
      </w:r>
    </w:p>
    <w:p>
      <w:pPr>
        <w:pStyle w:val="ListParagraph"/>
        <w:numPr>
          <w:ilvl w:val="0"/>
          <w:numId w:val="1"/>
        </w:numPr>
        <w:spacing w:after="80"/>
      </w:pPr>
      <w:r>
        <w:rPr>
          <w:sz w:val="22"/>
          <w:szCs w:val="22"/>
        </w:rPr>
        <w:t xml:space="preserve">Data erasure request: submit GDPR erasure → confirm deletion within the 30-day SLA</w:t>
      </w:r>
    </w:p>
    <w:p>
      <w:pPr>
        <w:pStyle w:val="ListParagraph"/>
        <w:numPr>
          <w:ilvl w:val="0"/>
          <w:numId w:val="1"/>
        </w:numPr>
        <w:spacing w:after="80"/>
      </w:pPr>
      <w:r>
        <w:rPr>
          <w:sz w:val="22"/>
          <w:szCs w:val="22"/>
        </w:rPr>
        <w:t xml:space="preserve">Snowflake export: nightly job delivering all assessment data to GlobalTech's Snowflake sandbox</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2026-06-08T06:35:44.500Z</dcterms:created>
  <dcterms:modified xsi:type="dcterms:W3CDTF">2026-06-08T06:35:44.500Z</dcterms:modified>
</cp:coreProperties>
</file>

<file path=docProps/custom.xml><?xml version="1.0" encoding="utf-8"?>
<Properties xmlns="http://schemas.openxmlformats.org/officeDocument/2006/custom-properties" xmlns:vt="http://schemas.openxmlformats.org/officeDocument/2006/docPropsVTypes"/>
</file>