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80"/>
        <w:jc w:val="center"/>
      </w:pPr>
      <w:r>
        <w:rPr>
          <w:rFonts w:ascii="Calibri" w:cs="Calibri" w:eastAsia="Calibri" w:hAnsi="Calibri"/>
          <w:b/>
          <w:bCs/>
          <w:color w:val="2E74B5"/>
          <w:sz w:val="24"/>
          <w:szCs w:val="24"/>
        </w:rPr>
        <w:t xml:space="preserve">TEAM CACHEME</w:t>
      </w:r>
    </w:p>
    <w:p>
      <w:pPr>
        <w:spacing w:after="300"/>
        <w:jc w:val="center"/>
      </w:pPr>
      <w:r>
        <w:rPr>
          <w:rFonts w:ascii="Calibri" w:cs="Calibri" w:eastAsia="Calibri" w:hAnsi="Calibri"/>
          <w:i/>
          <w:iCs/>
          <w:color w:val="595959"/>
          <w:sz w:val="22"/>
          <w:szCs w:val="22"/>
        </w:rPr>
        <w:t xml:space="preserve">Full Project Technical Documentation</w:t>
      </w:r>
    </w:p>
    <w:p>
      <w:pPr>
        <w:spacing w:after="100"/>
        <w:jc w:val="center"/>
      </w:pPr>
      <w:r>
        <w:rPr>
          <w:rFonts w:ascii="Calibri" w:cs="Calibri" w:eastAsia="Calibri" w:hAnsi="Calibri"/>
          <w:b/>
          <w:bCs/>
          <w:color w:val="1F3864"/>
          <w:sz w:val="60"/>
          <w:szCs w:val="60"/>
        </w:rPr>
        <w:t xml:space="preserve">SENTRY</w:t>
      </w:r>
    </w:p>
    <w:p>
      <w:pPr>
        <w:spacing w:after="100"/>
        <w:jc w:val="center"/>
      </w:pPr>
      <w:r>
        <w:rPr>
          <w:rFonts w:ascii="Calibri" w:cs="Calibri" w:eastAsia="Calibri" w:hAnsi="Calibri"/>
          <w:color w:val="1F3864"/>
          <w:sz w:val="27"/>
          <w:szCs w:val="27"/>
        </w:rPr>
        <w:t xml:space="preserve">An AI-Driven 6G ISAC System for Non-Line-of-Sight Road Safety</w:t>
      </w:r>
    </w:p>
    <w:p>
      <w:pPr>
        <w:spacing w:after="500"/>
        <w:jc w:val="center"/>
      </w:pPr>
      <w:r>
        <w:rPr>
          <w:rFonts w:ascii="Calibri" w:cs="Calibri" w:eastAsia="Calibri" w:hAnsi="Calibri"/>
          <w:i/>
          <w:iCs/>
          <w:color w:val="595959"/>
          <w:sz w:val="21"/>
          <w:szCs w:val="21"/>
        </w:rPr>
        <w:t xml:space="preserve">Roadside OTFS Waveform  +  Passive RIS Reflector  +  Edge-AI / O-RAN Alerting</w:t>
      </w:r>
    </w:p>
    <w:p>
      <w:pPr>
        <w:spacing w:after="40"/>
        <w:jc w:val="center"/>
      </w:pPr>
      <w:r>
        <w:rPr>
          <w:rFonts w:ascii="Calibri" w:cs="Calibri" w:eastAsia="Calibri" w:hAnsi="Calibri"/>
          <w:b/>
          <w:bCs/>
          <w:sz w:val="21"/>
          <w:szCs w:val="21"/>
        </w:rPr>
        <w:t xml:space="preserve">Problem Statement • Literature Review • Solution • Architecture • Novelty • Validation</w:t>
      </w:r>
    </w:p>
    <w:p>
      <w:pPr>
        <w:spacing w:after="700"/>
        <w:jc w:val="center"/>
      </w:pPr>
      <w:r>
        <w:rPr>
          <w:rFonts w:ascii="Calibri" w:cs="Calibri" w:eastAsia="Calibri" w:hAnsi="Calibri"/>
          <w:color w:val="595959"/>
          <w:sz w:val="20"/>
          <w:szCs w:val="20"/>
        </w:rPr>
        <w:t xml:space="preserve">Prepared for the India Mobile Congress (IMC) 2026 — “Scale without Boundaries”, 7–10 October 2026, New Delhi</w:t>
      </w:r>
    </w:p>
    <w:p>
      <w:pPr>
        <w:spacing w:after="40"/>
        <w:jc w:val="center"/>
      </w:pPr>
      <w:r>
        <w:rPr>
          <w:rFonts w:ascii="Calibri" w:cs="Calibri" w:eastAsia="Calibri" w:hAnsi="Calibri"/>
          <w:b/>
          <w:bCs/>
          <w:sz w:val="24"/>
          <w:szCs w:val="24"/>
        </w:rPr>
        <w:t xml:space="preserve">Team CacheMe</w:t>
      </w:r>
    </w:p>
    <w:p>
      <w:pPr>
        <w:spacing w:after="20"/>
        <w:jc w:val="center"/>
      </w:pPr>
      <w:r>
        <w:rPr>
          <w:rFonts w:ascii="Calibri" w:cs="Calibri" w:eastAsia="Calibri" w:hAnsi="Calibri"/>
          <w:color w:val="595959"/>
          <w:sz w:val="20"/>
          <w:szCs w:val="20"/>
        </w:rPr>
        <w:t xml:space="preserve">Aryan Iyengar — Physical Layer &amp; Waveform</w:t>
      </w:r>
    </w:p>
    <w:p>
      <w:pPr>
        <w:spacing w:after="20"/>
        <w:jc w:val="center"/>
      </w:pPr>
      <w:r>
        <w:rPr>
          <w:rFonts w:ascii="Calibri" w:cs="Calibri" w:eastAsia="Calibri" w:hAnsi="Calibri"/>
          <w:color w:val="595959"/>
          <w:sz w:val="20"/>
          <w:szCs w:val="20"/>
        </w:rPr>
        <w:t xml:space="preserve">Mou — Electromagnetics &amp; Spatial Link Budget</w:t>
      </w:r>
    </w:p>
    <w:p>
      <w:pPr>
        <w:spacing w:after="20"/>
        <w:jc w:val="center"/>
      </w:pPr>
      <w:r>
        <w:rPr>
          <w:rFonts w:ascii="Calibri" w:cs="Calibri" w:eastAsia="Calibri" w:hAnsi="Calibri"/>
          <w:color w:val="595959"/>
          <w:sz w:val="20"/>
          <w:szCs w:val="20"/>
        </w:rPr>
        <w:t xml:space="preserve">Om Goyal — Edge AI &amp; System Execution</w:t>
      </w:r>
    </w:p>
    <w:p>
      <w:pPr>
        <w:spacing w:after="700" w:before="400"/>
        <w:jc w:val="center"/>
      </w:pPr>
      <w:r>
        <w:rPr>
          <w:rFonts w:ascii="Calibri" w:cs="Calibri" w:eastAsia="Calibri" w:hAnsi="Calibri"/>
          <w:color w:val="595959"/>
          <w:sz w:val="20"/>
          <w:szCs w:val="20"/>
        </w:rPr>
        <w:t xml:space="preserve">Compiled by Aryan Iyengar, on behalf of Team CacheMe — September 2026</w:t>
      </w:r>
    </w:p>
    <w:p>
      <w:pPr>
        <w:pBdr>
          <w:top w:val="single" w:color="D9D9D9" w:sz="4" w:space="8"/>
        </w:pBdr>
        <w:spacing w:before="700"/>
        <w:jc w:val="center"/>
      </w:pPr>
      <w:r>
        <w:rPr>
          <w:rFonts w:ascii="Calibri" w:cs="Calibri" w:eastAsia="Calibri" w:hAnsi="Calibri"/>
          <w:color w:val="595959"/>
          <w:sz w:val="18"/>
          <w:szCs w:val="18"/>
        </w:rPr>
        <w:t xml:space="preserve">Team CacheMe — SENTRY</w:t>
      </w:r>
    </w:p>
    <w:p>
      <w:pPr>
        <w:sectPr>
          <w:pgSz w:w="12240" w:h="15840" w:orient="portrait"/>
          <w:pgMar w:top="1000" w:right="1200" w:bottom="1000" w:left="1200" w:header="708" w:footer="708" w:gutter="0"/>
          <w:pgNumType/>
          <w:docGrid w:linePitch="360"/>
        </w:sectPr>
      </w:pPr>
    </w:p>
    <w:p>
      <w:pPr>
        <w:pStyle w:val="Heading1"/>
        <w:pBdr>
          <w:bottom w:val="single" w:color="2E74B5" w:sz="6" w:space="4"/>
        </w:pBdr>
        <w:spacing w:after="180" w:before="380"/>
      </w:pPr>
      <w:r>
        <w:rPr>
          <w:rFonts w:ascii="Calibri" w:cs="Calibri" w:eastAsia="Calibri" w:hAnsi="Calibri"/>
          <w:b/>
          <w:bCs/>
          <w:color w:val="1F3864"/>
          <w:sz w:val="28"/>
          <w:szCs w:val="28"/>
        </w:rPr>
        <w:t xml:space="preserve">Abstract</w:t>
      </w:r>
    </w:p>
    <w:p>
      <w:pPr>
        <w:spacing w:after="160" w:line="276"/>
        <w:jc w:val="both"/>
      </w:pPr>
      <w:r>
        <w:rPr>
          <w:rFonts w:ascii="Calibri" w:cs="Calibri" w:eastAsia="Calibri" w:hAnsi="Calibri"/>
          <w:sz w:val="22"/>
          <w:szCs w:val="22"/>
        </w:rPr>
        <w:t xml:space="preserve">Team CacheMe's SENTRY is a roadside 6G Integrated Sensing and Communication (ISAC) hardware system that lets a vehicle sense a hazard it has no direct line of sight to at a blind, obstructed intersection. This document is the team's full technical documentation, redeveloped for the India Mobile Congress (IMC) 2026, covering the project end to end: a roadside unit that transmits a single Orthogonal Time Frequency Space (OTFS) waveform built to survive real vehicular Doppler; a 128-element passive Reconfigurable Intelligent Surface (RIS) that redirects that same signal around the obstruction; and an edge-AI classification and Time-to-Collision pipeline, delivered over an O-RAN-prioritised network slice, that turns a detected reflection into a driver alert in single-digit milliseconds. The report follows a problem statement → literature review → solution → architecture → novelty → validation structure, positions each engineering decision against the published research it builds on, and closes with a full reference list, in keeping with IMC's own framing of India's 6G ambitions around exporting home-grown telecom innovation and shaping global technology standards.</w:t>
      </w:r>
    </w:p>
    <w:p>
      <w:pPr>
        <w:pStyle w:val="Heading1"/>
        <w:pBdr>
          <w:bottom w:val="single" w:color="2E74B5" w:sz="6" w:space="4"/>
        </w:pBdr>
        <w:spacing w:after="180" w:before="380"/>
      </w:pPr>
      <w:r>
        <w:rPr>
          <w:rFonts w:ascii="Calibri" w:cs="Calibri" w:eastAsia="Calibri" w:hAnsi="Calibri"/>
          <w:b/>
          <w:bCs/>
          <w:color w:val="1F3864"/>
          <w:sz w:val="28"/>
          <w:szCs w:val="28"/>
        </w:rPr>
        <w:t xml:space="preserve">1. Introduction and Context</w:t>
      </w:r>
    </w:p>
    <w:p>
      <w:pPr>
        <w:spacing w:after="160" w:line="276"/>
        <w:jc w:val="both"/>
      </w:pPr>
      <w:r>
        <w:rPr>
          <w:rFonts w:ascii="Calibri" w:cs="Calibri" w:eastAsia="Calibri" w:hAnsi="Calibri"/>
          <w:sz w:val="22"/>
          <w:szCs w:val="22"/>
        </w:rPr>
        <w:t xml:space="preserve">SENTRY was originally documented as Team CacheMe's Stage 1 submission to the Vishwakarma Awards 2026–27, under the theme of Physical AI for Resilience and Inclusion. This document is a full rewrite of that submission for a different venue and a different audience: IMC 2026, India's flagship telecom and digital-technology forum, running 7–10 October 2026 in New Delhi under the theme “Scale without Boundaries,” with Integrated Sensing and Communication named by the ITU-R as one of the six official usage scenarios of 6G. Where the Vishwakarma framing emphasised resilience and inclusion, this document emphasises the telecom-engineering case: SENTRY as a concrete, standards-aligned instance of an ISAC use case, built by a student team, that a telecom-industry audience can evaluate on its own terms.</w:t>
      </w:r>
    </w:p>
    <w:p>
      <w:pPr>
        <w:spacing w:after="160" w:line="276"/>
        <w:jc w:val="both"/>
      </w:pPr>
      <w:r>
        <w:rPr>
          <w:rFonts w:ascii="Calibri" w:cs="Calibri" w:eastAsia="Calibri" w:hAnsi="Calibri"/>
          <w:sz w:val="22"/>
          <w:szCs w:val="22"/>
        </w:rPr>
        <w:t xml:space="preserve">SENTRY has three engineering pillars, one per teammate, that chain together into a single system: a roadside unit transmitting an OTFS waveform (Physical Layer &amp; Waveform, owned by Aryan Iyengar); a 128-element passive RIS panel that redirects that waveform around the blind corner (Electromagnetics &amp; Spatial Link Budget, owned by Mou); and an edge-AI classifier and O-RAN-based alerting pipeline that turns the reflected signal into a driver warning (Edge AI &amp; System Execution, owned by Om Goyal). This document covers all three pillars in full, in the order the team defends them: what problem each solves, what the published literature already says about that problem, the solution built, how it fits into the shared architecture, what is genuinely novel about it, and what has and has not yet been validated.</w:t>
      </w:r>
    </w:p>
    <w:p>
      <w:pPr>
        <w:pStyle w:val="Heading1"/>
        <w:pBdr>
          <w:bottom w:val="single" w:color="2E74B5" w:sz="6" w:space="4"/>
        </w:pBdr>
        <w:spacing w:after="180" w:before="380"/>
      </w:pPr>
      <w:r>
        <w:rPr>
          <w:rFonts w:ascii="Calibri" w:cs="Calibri" w:eastAsia="Calibri" w:hAnsi="Calibri"/>
          <w:b/>
          <w:bCs/>
          <w:color w:val="1F3864"/>
          <w:sz w:val="28"/>
          <w:szCs w:val="28"/>
        </w:rPr>
        <w:t xml:space="preserve">2. Problem Statement</w:t>
      </w:r>
    </w:p>
    <w:p>
      <w:pPr>
        <w:pStyle w:val="Heading2"/>
        <w:spacing w:after="120" w:before="260"/>
      </w:pPr>
      <w:r>
        <w:rPr>
          <w:rFonts w:ascii="Calibri" w:cs="Calibri" w:eastAsia="Calibri" w:hAnsi="Calibri"/>
          <w:b/>
          <w:bCs/>
          <w:color w:val="2E74B5"/>
          <w:sz w:val="24"/>
          <w:szCs w:val="24"/>
        </w:rPr>
        <w:t xml:space="preserve">2.1 The core problem</w:t>
      </w:r>
    </w:p>
    <w:p>
      <w:pPr>
        <w:spacing w:after="160" w:line="276"/>
        <w:jc w:val="both"/>
      </w:pPr>
      <w:r>
        <w:rPr>
          <w:rFonts w:ascii="Calibri" w:cs="Calibri" w:eastAsia="Calibri" w:hAnsi="Calibri"/>
          <w:sz w:val="22"/>
          <w:szCs w:val="22"/>
        </w:rPr>
        <w:t xml:space="preserve">At a blind, obstructed intersection, a building or other structure physically blocks the sightline between an approaching vehicle and a pedestrian, cyclist, or cross-traffic vehicle on the other side. Neither a human driver nor a conventional forward-facing sensor (camera, LiDAR, or radar) can detect a hazard that never enters their line of sight — the hazard is not poorly sensed, it is entirely un-sensed. This is a large and still-unresolved problem on Indian roads: MoRTH has been working through a national inventory of roughly 13,000 identified black/blind spots on national and state highways, and pedestrians, cyclists, and two-wheeler riders together account for more than half of all road fatalities in India — two-wheeler-involved crashes alone killed 74,897 people in a single reporting year, of which over 9,000 were pedestrians [11].</w:t>
      </w:r>
    </w:p>
    <w:p>
      <w:pPr>
        <w:pStyle w:val="Heading2"/>
        <w:spacing w:after="120" w:before="260"/>
      </w:pPr>
      <w:r>
        <w:rPr>
          <w:rFonts w:ascii="Calibri" w:cs="Calibri" w:eastAsia="Calibri" w:hAnsi="Calibri"/>
          <w:b/>
          <w:bCs/>
          <w:color w:val="2E74B5"/>
          <w:sz w:val="24"/>
          <w:szCs w:val="24"/>
        </w:rPr>
        <w:t xml:space="preserve">2.2 Three specific, documented roadblocks</w:t>
      </w:r>
    </w:p>
    <w:p>
      <w:pPr>
        <w:spacing w:after="160" w:line="276"/>
        <w:jc w:val="both"/>
      </w:pPr>
      <w:r>
        <w:rPr>
          <w:rFonts w:ascii="Calibri" w:cs="Calibri" w:eastAsia="Calibri" w:hAnsi="Calibri"/>
          <w:sz w:val="22"/>
          <w:szCs w:val="22"/>
        </w:rPr>
        <w:t xml:space="preserve">SENTRY's engineering scope is defined by three separate roadblocks, each owned by a different pillar of the project:</w:t>
      </w:r>
    </w:p>
    <w:p>
      <w:pPr>
        <w:pStyle w:val="ListParagraph"/>
        <w:numPr>
          <w:ilvl w:val="0"/>
          <w:numId w:val="2"/>
        </w:numPr>
        <w:spacing w:after="100" w:line="264"/>
      </w:pPr>
      <w:r>
        <w:rPr>
          <w:rFonts w:ascii="Calibri" w:cs="Calibri" w:eastAsia="Calibri" w:hAnsi="Calibri"/>
          <w:sz w:val="22"/>
          <w:szCs w:val="22"/>
        </w:rPr>
        <w:t xml:space="preserve">Geometric occlusion. A building blocks the line of sight for both the driver's eyes and any conventional forward-facing radar. No amount of “better AI” fixes a signal that never physically arrives — this is the problem the Electromagnetics &amp; Spatial Link Budget pillar addresses (Sections 3.2, 5.3).</w:t>
      </w:r>
    </w:p>
    <w:p>
      <w:pPr>
        <w:pStyle w:val="ListParagraph"/>
        <w:numPr>
          <w:ilvl w:val="0"/>
          <w:numId w:val="2"/>
        </w:numPr>
        <w:spacing w:after="100" w:line="264"/>
      </w:pPr>
      <w:r>
        <w:rPr>
          <w:rFonts w:ascii="Calibri" w:cs="Calibri" w:eastAsia="Calibri" w:hAnsi="Calibri"/>
          <w:sz w:val="22"/>
          <w:szCs w:val="22"/>
        </w:rPr>
        <w:t xml:space="preserve">High-speed Doppler breakdown. Standard 5G-NR OFDM assumes the channel is effectively static for one symbol; a vehicle moving at real driving speed breaks that assumption and induces inter-carrier interference that gets worse, not better, as signal power increases — this is the problem the Physical Layer &amp; Waveform pillar addresses (Sections 3.1, 5.2).</w:t>
      </w:r>
    </w:p>
    <w:p>
      <w:pPr>
        <w:pStyle w:val="ListParagraph"/>
        <w:numPr>
          <w:ilvl w:val="0"/>
          <w:numId w:val="2"/>
        </w:numPr>
        <w:spacing w:after="100" w:line="264"/>
      </w:pPr>
      <w:r>
        <w:rPr>
          <w:rFonts w:ascii="Calibri" w:cs="Calibri" w:eastAsia="Calibri" w:hAnsi="Calibri"/>
          <w:sz w:val="22"/>
          <w:szCs w:val="22"/>
        </w:rPr>
        <w:t xml:space="preserve">Latency and cost of a dual-hardware stack. The conventional fix for both problems above is to bolt on a second, independently powered unit — its own radar plus its own comms radio — at every blind corner. This does not scale across a city, and stitching two independent subsystems together adds latency at the handoff between sensing and alerting — this is the problem the Edge AI &amp; System Execution pillar's low-latency, single-chain design addresses (Sections 3.3, 5.4).</w:t>
      </w:r>
    </w:p>
    <w:p>
      <w:pPr>
        <w:spacing w:after="160" w:line="276"/>
        <w:jc w:val="both"/>
      </w:pPr>
      <w:r>
        <w:rPr>
          <w:rFonts w:ascii="Calibri" w:cs="Calibri" w:eastAsia="Calibri" w:hAnsi="Calibri"/>
          <w:sz w:val="22"/>
          <w:szCs w:val="22"/>
        </w:rPr>
        <w:t xml:space="preserve">SENTRY's pitch is that one waveform, one passive reflector, and one edge-AI model can solve all three at once, without adding powered infrastructure at every blind corner — the claim the remainder of this document builds up to and validates.</w:t>
      </w:r>
    </w:p>
    <w:p>
      <w:pPr>
        <w:pStyle w:val="Heading1"/>
        <w:pBdr>
          <w:bottom w:val="single" w:color="2E74B5" w:sz="6" w:space="4"/>
        </w:pBdr>
        <w:spacing w:after="180" w:before="380"/>
      </w:pPr>
      <w:r>
        <w:rPr>
          <w:rFonts w:ascii="Calibri" w:cs="Calibri" w:eastAsia="Calibri" w:hAnsi="Calibri"/>
          <w:b/>
          <w:bCs/>
          <w:color w:val="1F3864"/>
          <w:sz w:val="28"/>
          <w:szCs w:val="28"/>
        </w:rPr>
        <w:t xml:space="preserve">3. Literature Review</w:t>
      </w:r>
    </w:p>
    <w:p>
      <w:pPr>
        <w:spacing w:after="160" w:line="276"/>
        <w:jc w:val="both"/>
      </w:pPr>
      <w:r>
        <w:rPr>
          <w:rFonts w:ascii="Calibri" w:cs="Calibri" w:eastAsia="Calibri" w:hAnsi="Calibri"/>
          <w:sz w:val="22"/>
          <w:szCs w:val="22"/>
        </w:rPr>
        <w:t xml:space="preserve">SENTRY's engineering choices sit at the intersection of four separate research and standardisation threads. Each is reviewed below against the specific pillar it justifies, ending in the gap this project's combined, applied contribution sits in.</w:t>
      </w:r>
    </w:p>
    <w:p>
      <w:pPr>
        <w:pStyle w:val="Heading2"/>
        <w:spacing w:after="120" w:before="260"/>
      </w:pPr>
      <w:r>
        <w:rPr>
          <w:rFonts w:ascii="Calibri" w:cs="Calibri" w:eastAsia="Calibri" w:hAnsi="Calibri"/>
          <w:b/>
          <w:bCs/>
          <w:color w:val="2E74B5"/>
          <w:sz w:val="24"/>
          <w:szCs w:val="24"/>
        </w:rPr>
        <w:t xml:space="preserve">3.1 High-mobility waveform design (Physical Layer &amp; Waveform)</w:t>
      </w:r>
    </w:p>
    <w:p>
      <w:pPr>
        <w:spacing w:after="160" w:line="276"/>
        <w:jc w:val="both"/>
      </w:pPr>
      <w:r>
        <w:rPr>
          <w:rFonts w:ascii="Calibri" w:cs="Calibri" w:eastAsia="Calibri" w:hAnsi="Calibri"/>
          <w:sz w:val="22"/>
          <w:szCs w:val="22"/>
        </w:rPr>
        <w:t xml:space="preserve">OTFS was introduced by Hadani et al. as a two-dimensional modulation designed in the delay-Doppler domain rather than OFDM's time-frequency domain [1]. Its central property is that a channel which looks constantly time-varying to OFDM — because a transmitter, receiver, or reflector is moving — looks close to time-invariant once re-expressed in delay and Doppler. Follow-on work has characterised OTFS's diversity and detection performance under doubly-dispersive channels [2], and OFDM's degradation under Doppler spreading is independently documented as a longstanding, structural limitation of subcarrier-based modulation, not an artefact specific to any one deployment [3].</w:t>
      </w:r>
    </w:p>
    <w:p>
      <w:pPr>
        <w:pStyle w:val="Heading2"/>
        <w:spacing w:after="120" w:before="260"/>
      </w:pPr>
      <w:r>
        <w:rPr>
          <w:rFonts w:ascii="Calibri" w:cs="Calibri" w:eastAsia="Calibri" w:hAnsi="Calibri"/>
          <w:b/>
          <w:bCs/>
          <w:color w:val="2E74B5"/>
          <w:sz w:val="24"/>
          <w:szCs w:val="24"/>
        </w:rPr>
        <w:t xml:space="preserve">3.2 RIS physics and NLOS sensing (Electromagnetics &amp; Spatial Link Budget)</w:t>
      </w:r>
    </w:p>
    <w:p>
      <w:pPr>
        <w:spacing w:after="160" w:line="276"/>
        <w:jc w:val="both"/>
      </w:pPr>
      <w:r>
        <w:rPr>
          <w:rFonts w:ascii="Calibri" w:cs="Calibri" w:eastAsia="Calibri" w:hAnsi="Calibri"/>
          <w:sz w:val="22"/>
          <w:szCs w:val="22"/>
        </w:rPr>
        <w:t xml:space="preserve">The physics of passive reflective beamforming — an array of N phase-programmable elements combining a reflected signal coherently for a power gain that scales with N² — and the realistic cost of cheap, discrete (as opposed to continuously variable) phase control are both established in the foundational RIS beamforming literature. Wu and Zhang's joint active-and-passive beamforming framework, and their follow-on analysis of discrete phase shifts, is the standard reference for both the N² coherent-combining result and the quantified performance loss from low-resolution phase control — approximately 3.9 dB for 1-bit (two-state) phase quantization relative to an ideal continuously-phased panel, versus roughly 0.9 dB for 2-bit control [12]. Separately, and more directly relevant to SENTRY's sensing (not just communication) use of the RIS, Yasmeen, Kundu and Ram at IIIT Delhi built and experimentally tested a RIS-assisted around-the-corner radar system, and reported that the micro-Doppler signature of a walking person could be captured in genuinely non-line-of-sight conditions at 5.5 GHz by directing the incident beam onto the RIS and into the NLOS region [7]. On the specific pairing of RIS with OTFS, Li et al. derive a transmission scheme and channel-estimation method for RIS-aided OTFS [4]; Bora, Phan and Hong analyse IRS-assisted high-mobility communication using OTFS specifically [5]; and Bhat, Harshavardhan and Chockalingam characterise RIS-aided OTFS performance under fractional (non-integer-bin) delay-Doppler offsets, the realistic case for an arbitrarily placed roadside reflector [6].</w:t>
      </w:r>
    </w:p>
    <w:p>
      <w:pPr>
        <w:pStyle w:val="Heading2"/>
        <w:spacing w:after="120" w:before="260"/>
      </w:pPr>
      <w:r>
        <w:rPr>
          <w:rFonts w:ascii="Calibri" w:cs="Calibri" w:eastAsia="Calibri" w:hAnsi="Calibri"/>
          <w:b/>
          <w:bCs/>
          <w:color w:val="2E74B5"/>
          <w:sz w:val="24"/>
          <w:szCs w:val="24"/>
        </w:rPr>
        <w:t xml:space="preserve">3.3 Radar-based hazard classification and collision-risk scoring (Edge AI &amp; System Execution)</w:t>
      </w:r>
    </w:p>
    <w:p>
      <w:pPr>
        <w:spacing w:after="160" w:line="276"/>
        <w:jc w:val="both"/>
      </w:pPr>
      <w:r>
        <w:rPr>
          <w:rFonts w:ascii="Calibri" w:cs="Calibri" w:eastAsia="Calibri" w:hAnsi="Calibri"/>
          <w:sz w:val="22"/>
          <w:szCs w:val="22"/>
        </w:rPr>
        <w:t xml:space="preserve">Classifying a road user from its radar micro-Doppler signature — the fine-timescale variation a target's moving parts (a pedestrian's swinging limbs, a cyclist's rotating wheels) impose on the reflected signal — is an active applied machine-learning research area; Li, Xiang, Xu and Wang, for instance, report a deep-learning pipeline for pedestrian recognition from radar micro-Doppler data with accuracy gains over prior methods and sub-second inference time [13]. On the decision side, Time-to-Collision (TTC) as a proximity-to-danger metric was introduced by Hayward and remains one of the most widely used surrogate safety measures in transportation research; critically, 1.5 seconds is repeatedly cited in that literature as the critical threshold below which a scenario is treated as unsafe [14] — the exact threshold SENTRY's Edge AI pillar uses to trigger an emergency alert, which is a point of direct alignment between SENTRY's design and the published road-safety literature rather than an arbitrarily chosen number.</w:t>
      </w:r>
    </w:p>
    <w:p>
      <w:pPr>
        <w:pStyle w:val="Heading2"/>
        <w:spacing w:after="120" w:before="260"/>
      </w:pPr>
      <w:r>
        <w:rPr>
          <w:rFonts w:ascii="Calibri" w:cs="Calibri" w:eastAsia="Calibri" w:hAnsi="Calibri"/>
          <w:b/>
          <w:bCs/>
          <w:color w:val="2E74B5"/>
          <w:sz w:val="24"/>
          <w:szCs w:val="24"/>
        </w:rPr>
        <w:t xml:space="preserve">3.4 ISAC standardisation and O-RAN network architecture (system-level)</w:t>
      </w:r>
    </w:p>
    <w:p>
      <w:pPr>
        <w:spacing w:after="160" w:line="276"/>
        <w:jc w:val="both"/>
      </w:pPr>
      <w:r>
        <w:rPr>
          <w:rFonts w:ascii="Calibri" w:cs="Calibri" w:eastAsia="Calibri" w:hAnsi="Calibri"/>
          <w:sz w:val="22"/>
          <w:szCs w:val="22"/>
        </w:rPr>
        <w:t xml:space="preserve">This project is deliberately written against the backdrop of formal standardisation. ITU-R Recommendation M.2160 defines the IMT-2030 (6G) framework around six usage scenarios, one of which — Integrated Sensing and Communication — is defined explicitly to provide wide-area, multi-dimensional sensing of connected and unconnected objects using the same radio infrastructure as communication [8]. 3GPP's Release 19 feasibility study on ISAC (TR 22.837) independently arrived at sensing-and-communication convergence as a near-term normative direction for 5G-Advanced and 6G systems [9]. On the network-delivery side, the O-RAN Alliance's Near-RT RIC architecture defines a microservice-based platform (xApps) that can carve out prioritised, low-latency network slices for a specific control function [10] — the mechanism SENTRY's Edge AI pillar uses to guarantee a safety alert is not queued behind ordinary network traffic.</w:t>
      </w:r>
    </w:p>
    <w:p>
      <w:pPr>
        <w:pStyle w:val="Heading2"/>
        <w:spacing w:after="120" w:before="260"/>
      </w:pPr>
      <w:r>
        <w:rPr>
          <w:rFonts w:ascii="Calibri" w:cs="Calibri" w:eastAsia="Calibri" w:hAnsi="Calibri"/>
          <w:b/>
          <w:bCs/>
          <w:color w:val="2E74B5"/>
          <w:sz w:val="24"/>
          <w:szCs w:val="24"/>
        </w:rPr>
        <w:t xml:space="preserve">3.5 Gap this project addresses</w:t>
      </w:r>
    </w:p>
    <w:p>
      <w:pPr>
        <w:spacing w:after="160" w:line="276"/>
        <w:jc w:val="both"/>
      </w:pPr>
      <w:r>
        <w:rPr>
          <w:rFonts w:ascii="Calibri" w:cs="Calibri" w:eastAsia="Calibri" w:hAnsi="Calibri"/>
          <w:sz w:val="22"/>
          <w:szCs w:val="22"/>
        </w:rPr>
        <w:t xml:space="preserve">Individually, the literature establishes that OTFS fixes OFDM's high-mobility breakdown, that RIS panels can be modelled realistically (including their discrete-phase hardware losses) and have been experimentally shown to enable NLOS radar sensing, that radar micro-Doppler classification of vulnerable road users is an active and tractable machine-learning problem, and that ISAC and RAN intelligent control are both formally recognised 6G building blocks. What the reviewed literature does not yet demonstrate is these four pieces combined, end to end, into one scoped, deployable roadside safety system for Indian blind-corner intersections — with an explicit, honest accounting throughout of what has been simulated versus what remains to be measured on real hardware. That combined, applied, and honestly-scoped demonstration is SENTRY's contribution, detailed pillar by pillar in the remainder of this document.</w:t>
      </w:r>
    </w:p>
    <w:p>
      <w:pPr>
        <w:pStyle w:val="Heading1"/>
        <w:pBdr>
          <w:bottom w:val="single" w:color="2E74B5" w:sz="6" w:space="4"/>
        </w:pBdr>
        <w:spacing w:after="180" w:before="380"/>
      </w:pPr>
      <w:r>
        <w:rPr>
          <w:rFonts w:ascii="Calibri" w:cs="Calibri" w:eastAsia="Calibri" w:hAnsi="Calibri"/>
          <w:b/>
          <w:bCs/>
          <w:color w:val="1F3864"/>
          <w:sz w:val="28"/>
          <w:szCs w:val="28"/>
        </w:rPr>
        <w:t xml:space="preserve">4. Solution Proposed</w:t>
      </w:r>
    </w:p>
    <w:p>
      <w:pPr>
        <w:pStyle w:val="Heading2"/>
        <w:spacing w:after="120" w:before="260"/>
      </w:pPr>
      <w:r>
        <w:rPr>
          <w:rFonts w:ascii="Calibri" w:cs="Calibri" w:eastAsia="Calibri" w:hAnsi="Calibri"/>
          <w:b/>
          <w:bCs/>
          <w:color w:val="2E74B5"/>
          <w:sz w:val="24"/>
          <w:szCs w:val="24"/>
        </w:rPr>
        <w:t xml:space="preserve">4.1 System-level solution</w:t>
      </w:r>
    </w:p>
    <w:p>
      <w:pPr>
        <w:spacing w:after="160" w:line="276"/>
        <w:jc w:val="both"/>
      </w:pPr>
      <w:r>
        <w:rPr>
          <w:rFonts w:ascii="Calibri" w:cs="Calibri" w:eastAsia="Calibri" w:hAnsi="Calibri"/>
          <w:sz w:val="22"/>
          <w:szCs w:val="22"/>
        </w:rPr>
        <w:t xml:space="preserve">SENTRY's solution is architectural rather than incremental: one OTFS waveform, transmitted from a roadside unit and reflected by a passive metasurface panel, is used simultaneously as a communication link and a radar sensor, and the resulting detection is turned into a prioritised, low-latency alert without a cloud round-trip. The full chain is: roadside unit (OTFS waveform) → 128-element passive RIS → vehicle → edge-AI classification and Time-to-Collision scoring → O-RAN Near-RT RIC prioritised alert delivery. Each stage is owned by one pillar, summarised here and detailed architecturally in Section 5.</w:t>
      </w:r>
    </w:p>
    <w:p>
      <w:pPr>
        <w:pStyle w:val="Heading2"/>
        <w:spacing w:after="120" w:before="260"/>
      </w:pPr>
      <w:r>
        <w:rPr>
          <w:rFonts w:ascii="Calibri" w:cs="Calibri" w:eastAsia="Calibri" w:hAnsi="Calibri"/>
          <w:b/>
          <w:bCs/>
          <w:color w:val="2E74B5"/>
          <w:sz w:val="24"/>
          <w:szCs w:val="24"/>
        </w:rPr>
        <w:t xml:space="preserve">4.2 Physical Layer &amp; Waveform solution</w:t>
      </w:r>
    </w:p>
    <w:p>
      <w:pPr>
        <w:spacing w:after="160" w:line="276"/>
        <w:jc w:val="both"/>
      </w:pPr>
      <w:r>
        <w:rPr>
          <w:rFonts w:ascii="Calibri" w:cs="Calibri" w:eastAsia="Calibri" w:hAnsi="Calibri"/>
          <w:sz w:val="22"/>
          <w:szCs w:val="22"/>
        </w:rPr>
        <w:t xml:space="preserve">The roadside unit constructs its signal in the delay-Doppler domain (OTFS) rather than the time-frequency domain (OFDM), because a channel that looks constantly time-varying to OFDM under vehicular motion looks close to stationary once expressed in delay and Doppler. This is a structural fix, not a tunable one: OFDM's per-subcarrier equalizer cannot undo a Doppler-induced phase ramp that occurs within the symbol it is equalizing, regardless of how well it is tuned, so the fix has to change which domain the data lives in rather than improve the equalizer. The same transmitted signal that carries the communication payload also returns the radar-style echo the Edge AI pillar consumes, which is the single fact underwriting SENTRY's avoidance of a second, independently powered sensor at every corner.</w:t>
      </w:r>
    </w:p>
    <w:p>
      <w:pPr>
        <w:pStyle w:val="Heading2"/>
        <w:spacing w:after="120" w:before="260"/>
      </w:pPr>
      <w:r>
        <w:rPr>
          <w:rFonts w:ascii="Calibri" w:cs="Calibri" w:eastAsia="Calibri" w:hAnsi="Calibri"/>
          <w:b/>
          <w:bCs/>
          <w:color w:val="2E74B5"/>
          <w:sz w:val="24"/>
          <w:szCs w:val="24"/>
        </w:rPr>
        <w:t xml:space="preserve">4.3 Electromagnetics &amp; Spatial Link Budget solution</w:t>
      </w:r>
    </w:p>
    <w:p>
      <w:pPr>
        <w:spacing w:after="160" w:line="276"/>
        <w:jc w:val="both"/>
      </w:pPr>
      <w:r>
        <w:rPr>
          <w:rFonts w:ascii="Calibri" w:cs="Calibri" w:eastAsia="Calibri" w:hAnsi="Calibri"/>
          <w:sz w:val="22"/>
          <w:szCs w:val="22"/>
        </w:rPr>
        <w:t xml:space="preserve">The RIS panel is a largely passive, 128-element surface, each element independently able to shift the phase of the signal it reflects. When all elements are phased to constructively combine at the vehicle's position, the reflected signal adds up coherently for a power gain that scales with the square of the element count, clawing back a large fraction of the link budget lost to the building's blockage without drawing meaningful active RF power — the entire economic argument for a passive reflector over a second active base station. The team's own link budget models this blockage penalty at roughly +45 dB at 28 GHz, and 128 elements gives an ideal coherent-combining gain of 20·log₁₀(128) ≈ 42.1 dB before accounting for hardware losses — close to, though the team is careful not to overclaim fully recovering, the blockage penalty on paper, which is precisely why the realistic, quantised-hardware case in Section 4.3 below is modelled explicitly rather than assumed away.</w:t>
      </w:r>
    </w:p>
    <w:p>
      <w:pPr>
        <w:pStyle w:val="Heading2"/>
        <w:spacing w:after="120" w:before="260"/>
      </w:pPr>
      <w:r>
        <w:rPr>
          <w:rFonts w:ascii="Calibri" w:cs="Calibri" w:eastAsia="Calibri" w:hAnsi="Calibri"/>
          <w:b/>
          <w:bCs/>
          <w:color w:val="2E74B5"/>
          <w:sz w:val="24"/>
          <w:szCs w:val="24"/>
        </w:rPr>
        <w:t xml:space="preserve">4.4 Edge AI &amp; System Execution solution</w:t>
      </w:r>
    </w:p>
    <w:p>
      <w:pPr>
        <w:spacing w:after="160" w:line="276"/>
        <w:jc w:val="both"/>
      </w:pPr>
      <w:r>
        <w:rPr>
          <w:rFonts w:ascii="Calibri" w:cs="Calibri" w:eastAsia="Calibri" w:hAnsi="Calibri"/>
          <w:sz w:val="22"/>
          <w:szCs w:val="22"/>
        </w:rPr>
        <w:t xml:space="preserve">Once a reflection is captured, the system reads its micro-Doppler signature — the fine-timescale variation a car, pedestrian, or two-wheeler's moving parts impose on the reflected signal — through a lightweight, TensorRT-optimised classifier, so the eventual alert can be prioritised and phrased appropriately. Range and relative closing speed are read directly off the delay-Doppler grid the OTFS physical layer already produces; dividing one by the other gives Time-to-Collision, and SENTRY escalates to an active alert once TTC drops below 1.5 seconds — the classical critical threshold from the road-safety literature (Section 3.3). The resulting alert is broadcast through an O-RAN Near-RT RIC xApp on a prioritised, zero-congestion emergency slice, so a correctly and quickly computed alert is never left waiting behind ordinary network traffic.</w:t>
      </w:r>
    </w:p>
    <w:p>
      <w:pPr>
        <w:pStyle w:val="Heading2"/>
        <w:spacing w:after="120" w:before="260"/>
      </w:pPr>
      <w:r>
        <w:rPr>
          <w:rFonts w:ascii="Calibri" w:cs="Calibri" w:eastAsia="Calibri" w:hAnsi="Calibri"/>
          <w:b/>
          <w:bCs/>
          <w:color w:val="2E74B5"/>
          <w:sz w:val="24"/>
          <w:szCs w:val="24"/>
        </w:rPr>
        <w:t xml:space="preserve">4.5 A shared fail-safe design philosophy</w:t>
      </w:r>
    </w:p>
    <w:p>
      <w:pPr>
        <w:spacing w:after="160" w:line="276"/>
        <w:jc w:val="both"/>
      </w:pPr>
      <w:r>
        <w:rPr>
          <w:rFonts w:ascii="Calibri" w:cs="Calibri" w:eastAsia="Calibri" w:hAnsi="Calibri"/>
          <w:sz w:val="22"/>
          <w:szCs w:val="22"/>
        </w:rPr>
        <w:t xml:space="preserve">Across all three pillars, SENTRY is designed to degrade to a simpler, more conservative warning rather than fail silently: if the edge-sensing hardware degrades, the system falls back to a simpler detection method; if the primary wireless path fails, the alert escalates through independent backup paths and, as a last resort, a physical roadside sign that needs no network connection at all; and every alert is cryptographically signed so a vehicle only accepts messages from an authenticated roadside unit.</w:t>
      </w:r>
    </w:p>
    <w:p>
      <w:pPr>
        <w:pStyle w:val="Heading1"/>
        <w:pBdr>
          <w:bottom w:val="single" w:color="2E74B5" w:sz="6" w:space="4"/>
        </w:pBdr>
        <w:spacing w:after="180" w:before="380"/>
      </w:pPr>
      <w:r>
        <w:rPr>
          <w:rFonts w:ascii="Calibri" w:cs="Calibri" w:eastAsia="Calibri" w:hAnsi="Calibri"/>
          <w:b/>
          <w:bCs/>
          <w:color w:val="1F3864"/>
          <w:sz w:val="28"/>
          <w:szCs w:val="28"/>
        </w:rPr>
        <w:t xml:space="preserve">5. Architecture Explanation</w:t>
      </w:r>
    </w:p>
    <w:p>
      <w:pPr>
        <w:pStyle w:val="Heading2"/>
        <w:spacing w:after="120" w:before="260"/>
      </w:pPr>
      <w:r>
        <w:rPr>
          <w:rFonts w:ascii="Calibri" w:cs="Calibri" w:eastAsia="Calibri" w:hAnsi="Calibri"/>
          <w:b/>
          <w:bCs/>
          <w:color w:val="2E74B5"/>
          <w:sz w:val="24"/>
          <w:szCs w:val="24"/>
        </w:rPr>
        <w:t xml:space="preserve">5.1 End-to-end signal chain</w:t>
      </w:r>
    </w:p>
    <w:p>
      <w:pPr>
        <w:spacing w:after="160" w:line="276"/>
        <w:jc w:val="both"/>
      </w:pPr>
      <w:r>
        <w:rPr>
          <w:rFonts w:ascii="Calibri" w:cs="Calibri" w:eastAsia="Calibri" w:hAnsi="Calibri"/>
          <w:sz w:val="22"/>
          <w:szCs w:val="22"/>
        </w:rPr>
        <w:t xml:space="preserve">SENTRY's architecture is a single linear chain with one branch point at the vehicle: RSU (OTFS waveform, 15 kHz-numerology overlay) → transmission through free space and blockage → 128-element passive RIS redirection → reception at the vehicle (communication path) and back at the RSU (sensing/echo path) → delay-Doppler grid reconstruction → edge-AI classification and TTC scoring → O-RAN Near-RT RIC prioritised broadcast → driver alert or, as a fallback, a passive roadside sign. Each stage below is expanded pillar by pillar.</w:t>
      </w:r>
    </w:p>
    <w:p>
      <w:pPr>
        <w:pStyle w:val="Heading2"/>
        <w:spacing w:after="120" w:before="260"/>
      </w:pPr>
      <w:r>
        <w:rPr>
          <w:rFonts w:ascii="Calibri" w:cs="Calibri" w:eastAsia="Calibri" w:hAnsi="Calibri"/>
          <w:b/>
          <w:bCs/>
          <w:color w:val="2E74B5"/>
          <w:sz w:val="24"/>
          <w:szCs w:val="24"/>
        </w:rPr>
        <w:t xml:space="preserve">5.2 Physical Layer &amp; Waveform architecture (Aryan Iyengar)</w:t>
      </w:r>
    </w:p>
    <w:p>
      <w:pPr>
        <w:spacing w:after="160" w:line="276"/>
        <w:jc w:val="both"/>
      </w:pPr>
      <w:r>
        <w:rPr>
          <w:rFonts w:ascii="Calibri" w:cs="Calibri" w:eastAsia="Calibri" w:hAnsi="Calibri"/>
          <w:sz w:val="22"/>
          <w:szCs w:val="22"/>
        </w:rPr>
        <w:t xml:space="preserve">At the roadside unit, information symbols are placed on a delay-Doppler grid (SENTRY's working simulation uses a 32×32 grid); an inverse transform converts this into the time-frequency grid a physical radio transmits, using the same 15 kHz-subcarrier numerology a 5G-NR OFDM system would use, so the waveform is an OFDM-compatible overlay rather than a bespoke air interface. The channel a vehicle imposes introduces a Doppler shift of fd = (v/c)×fc; at fc = 28 GHz this reaches roughly 2.59 kHz at 100 km/h — about 17% of the 15 kHz subcarrier spacing (Table 1) — large enough to break OFDM's within-symbol static-channel assumption and create an SNR-independent error floor through inter-carrier interference. At the receiver, the inverse operation converts the signal back into the delay-Doppler domain, where OTFS symbols remain localised even under this Doppler shift, so the resulting grid preserves two directly usable quantities for any detected reflector: delay-bin position (range) and Doppler-bin position (relative speed) — exactly the interface the Edge AI pillar consumes.</w:t>
      </w:r>
    </w:p>
    <w:tbl>
      <w:tblPr>
        <w:tblW w:type="dxa" w:w="1000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3200"/>
        <w:gridCol w:w="3600"/>
      </w:tblGrid>
      <w:tr>
        <w:trPr>
          <w:tblHeader/>
        </w:trPr>
        <w:tc>
          <w:tcPr>
            <w:tcW w:type="dxa" w:w="3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Vehicle speed</w:t>
            </w:r>
          </w:p>
        </w:tc>
        <w:tc>
          <w:tcPr>
            <w:tcW w:type="dxa" w:w="3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Doppler shift, fd</w:t>
            </w:r>
          </w:p>
        </w:tc>
        <w:tc>
          <w:tcPr>
            <w:tcW w:type="dxa" w:w="3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fd as % of 15 kHz subcarrier spacing</w:t>
            </w:r>
          </w:p>
        </w:tc>
      </w:tr>
      <w:tr>
        <w:tc>
          <w:tcPr>
            <w:tcW w:type="dxa" w:w="3200"/>
            <w:shd w:fill="FFFFFF" w:val="clear"/>
            <w:tcMar>
              <w:top w:type="dxa" w:w="70"/>
              <w:left w:type="dxa" w:w="100"/>
              <w:bottom w:type="dxa" w:w="70"/>
              <w:right w:type="dxa" w:w="100"/>
            </w:tcMar>
            <w:vAlign w:val="center"/>
          </w:tcPr>
          <w:p>
            <w:pPr>
              <w:jc w:val="left"/>
            </w:pPr>
            <w:r>
              <w:rPr>
                <w:rFonts w:ascii="Calibri" w:cs="Calibri" w:eastAsia="Calibri" w:hAnsi="Calibri"/>
                <w:sz w:val="19"/>
                <w:szCs w:val="19"/>
              </w:rPr>
              <w:t xml:space="preserve">60 km/h (urban)</w:t>
            </w:r>
          </w:p>
        </w:tc>
        <w:tc>
          <w:tcPr>
            <w:tcW w:type="dxa" w:w="32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 1.56 kHz</w:t>
            </w:r>
          </w:p>
        </w:tc>
        <w:tc>
          <w:tcPr>
            <w:tcW w:type="dxa" w:w="36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 10.4 %</w:t>
            </w:r>
          </w:p>
        </w:tc>
      </w:tr>
      <w:tr>
        <w:tc>
          <w:tcPr>
            <w:tcW w:type="dxa" w:w="3200"/>
            <w:shd w:fill="F2F2F2" w:val="clear"/>
            <w:tcMar>
              <w:top w:type="dxa" w:w="70"/>
              <w:left w:type="dxa" w:w="100"/>
              <w:bottom w:type="dxa" w:w="70"/>
              <w:right w:type="dxa" w:w="100"/>
            </w:tcMar>
            <w:vAlign w:val="center"/>
          </w:tcPr>
          <w:p>
            <w:pPr>
              <w:jc w:val="left"/>
            </w:pPr>
            <w:r>
              <w:rPr>
                <w:rFonts w:ascii="Calibri" w:cs="Calibri" w:eastAsia="Calibri" w:hAnsi="Calibri"/>
                <w:sz w:val="19"/>
                <w:szCs w:val="19"/>
              </w:rPr>
              <w:t xml:space="preserve">80 km/h (arterial)</w:t>
            </w:r>
          </w:p>
        </w:tc>
        <w:tc>
          <w:tcPr>
            <w:tcW w:type="dxa" w:w="3200"/>
            <w:shd w:fill="F2F2F2"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 2.07 kHz</w:t>
            </w:r>
          </w:p>
        </w:tc>
        <w:tc>
          <w:tcPr>
            <w:tcW w:type="dxa" w:w="3600"/>
            <w:shd w:fill="F2F2F2"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 13.8 %</w:t>
            </w:r>
          </w:p>
        </w:tc>
      </w:tr>
      <w:tr>
        <w:tc>
          <w:tcPr>
            <w:tcW w:type="dxa" w:w="3200"/>
            <w:shd w:fill="FFFFFF" w:val="clear"/>
            <w:tcMar>
              <w:top w:type="dxa" w:w="70"/>
              <w:left w:type="dxa" w:w="100"/>
              <w:bottom w:type="dxa" w:w="70"/>
              <w:right w:type="dxa" w:w="100"/>
            </w:tcMar>
            <w:vAlign w:val="center"/>
          </w:tcPr>
          <w:p>
            <w:pPr>
              <w:jc w:val="left"/>
            </w:pPr>
            <w:r>
              <w:rPr>
                <w:rFonts w:ascii="Calibri" w:cs="Calibri" w:eastAsia="Calibri" w:hAnsi="Calibri"/>
                <w:sz w:val="19"/>
                <w:szCs w:val="19"/>
              </w:rPr>
              <w:t xml:space="preserve">100 km/h (highway)</w:t>
            </w:r>
          </w:p>
        </w:tc>
        <w:tc>
          <w:tcPr>
            <w:tcW w:type="dxa" w:w="32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 2.59 kHz</w:t>
            </w:r>
          </w:p>
        </w:tc>
        <w:tc>
          <w:tcPr>
            <w:tcW w:type="dxa" w:w="36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 17.3 %</w:t>
            </w:r>
          </w:p>
        </w:tc>
      </w:tr>
      <w:tr>
        <w:tc>
          <w:tcPr>
            <w:tcW w:type="dxa" w:w="3200"/>
            <w:shd w:fill="F2F2F2" w:val="clear"/>
            <w:tcMar>
              <w:top w:type="dxa" w:w="70"/>
              <w:left w:type="dxa" w:w="100"/>
              <w:bottom w:type="dxa" w:w="70"/>
              <w:right w:type="dxa" w:w="100"/>
            </w:tcMar>
            <w:vAlign w:val="center"/>
          </w:tcPr>
          <w:p>
            <w:pPr>
              <w:jc w:val="left"/>
            </w:pPr>
            <w:r>
              <w:rPr>
                <w:rFonts w:ascii="Calibri" w:cs="Calibri" w:eastAsia="Calibri" w:hAnsi="Calibri"/>
                <w:sz w:val="19"/>
                <w:szCs w:val="19"/>
              </w:rPr>
              <w:t xml:space="preserve">120 km/h (expressway)</w:t>
            </w:r>
          </w:p>
        </w:tc>
        <w:tc>
          <w:tcPr>
            <w:tcW w:type="dxa" w:w="3200"/>
            <w:shd w:fill="F2F2F2"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 3.11 kHz</w:t>
            </w:r>
          </w:p>
        </w:tc>
        <w:tc>
          <w:tcPr>
            <w:tcW w:type="dxa" w:w="3600"/>
            <w:shd w:fill="F2F2F2"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 20.7 %</w:t>
            </w:r>
          </w:p>
        </w:tc>
      </w:tr>
    </w:tbl>
    <w:p>
      <w:pPr>
        <w:spacing w:after="200" w:before="60"/>
        <w:jc w:val="center"/>
      </w:pPr>
      <w:r>
        <w:rPr>
          <w:rFonts w:ascii="Calibri" w:cs="Calibri" w:eastAsia="Calibri" w:hAnsi="Calibri"/>
          <w:i/>
          <w:iCs/>
          <w:color w:val="595959"/>
          <w:sz w:val="19"/>
          <w:szCs w:val="19"/>
        </w:rPr>
        <w:t xml:space="preserve">Table 1. Vehicular Doppler shift at fc = 28 GHz across representative Indian road speeds, computed from fd = (v/c)×fc.</w:t>
      </w:r>
    </w:p>
    <w:p>
      <w:pPr>
        <w:pStyle w:val="Heading2"/>
        <w:spacing w:after="120" w:before="260"/>
      </w:pPr>
      <w:r>
        <w:rPr>
          <w:rFonts w:ascii="Calibri" w:cs="Calibri" w:eastAsia="Calibri" w:hAnsi="Calibri"/>
          <w:b/>
          <w:bCs/>
          <w:color w:val="2E74B5"/>
          <w:sz w:val="24"/>
          <w:szCs w:val="24"/>
        </w:rPr>
        <w:t xml:space="preserve">5.3 Electromagnetics &amp; Spatial Link Budget architecture (Mou)</w:t>
      </w:r>
    </w:p>
    <w:p>
      <w:pPr>
        <w:spacing w:after="160" w:line="276"/>
        <w:jc w:val="both"/>
      </w:pPr>
      <w:r>
        <w:rPr>
          <w:rFonts w:ascii="Calibri" w:cs="Calibri" w:eastAsia="Calibri" w:hAnsi="Calibri"/>
          <w:sz w:val="22"/>
          <w:szCs w:val="22"/>
        </w:rPr>
        <w:t xml:space="preserve">A signal travelling in free space at 28 GHz already loses significant power with distance; the obstructing building adds a further blockage penalty the team's link budget models at roughly +45 dB — enough, on the direct path alone, to push the received signal below the noise floor. The RIS panel, placed to intercept the RSU's signal and redirect it into the shadow region, is a passive array of many small elements, each independently shifting the phase of the signal it reflects with no on-board amplifier and negligible active RF power draw. When all N elements are phased to combine constructively at the vehicle's position, the reflected signal adds coherently for a gain that scales with N², equivalently 20·log₁₀(N) dB — for SENTRY's 128-element panel, an ideal 20·log₁₀(128) ≈ 42.1 dB. Real hardware does not offer continuous phase control: SENTRY's model uses 1-bit (two-state, 0 and π) phase quantization, the cheapest and most deployable option, which the literature quantifies as costing roughly 3.9 dB relative to an ideal continuously-phased panel [12] — an honest, explicitly modelled hardware loss rather than an idealised best case. Simulation B places an RSU and the 128-element RIS at a modelled 90° intersection and computes received SNR across a 30 m × 30 m area with and without the RIS active, showing the shadow region pulled back from a low-SNR blind zone to a usable SNR level once the RIS is active. Two implementation bugs were caught and fixed during that simulation's development — an early version combined direct-path and RIS-path power in the wrong domain, and the NLOS shadow region was originally flagged with a crude quadrant test rather than a true line-of-sight-versus-building-rectangle intersection test — which the team keeps as a credibility point precisely because it shows the model was checked, not just plotted once and shipped.</w:t>
      </w:r>
    </w:p>
    <w:p>
      <w:pPr>
        <w:pStyle w:val="Heading2"/>
        <w:spacing w:after="120" w:before="260"/>
      </w:pPr>
      <w:r>
        <w:rPr>
          <w:rFonts w:ascii="Calibri" w:cs="Calibri" w:eastAsia="Calibri" w:hAnsi="Calibri"/>
          <w:b/>
          <w:bCs/>
          <w:color w:val="2E74B5"/>
          <w:sz w:val="24"/>
          <w:szCs w:val="24"/>
        </w:rPr>
        <w:t xml:space="preserve">5.4 Edge AI &amp; System Execution architecture (Om Goyal)</w:t>
      </w:r>
    </w:p>
    <w:p>
      <w:pPr>
        <w:spacing w:after="160" w:line="276"/>
        <w:jc w:val="both"/>
      </w:pPr>
      <w:r>
        <w:rPr>
          <w:rFonts w:ascii="Calibri" w:cs="Calibri" w:eastAsia="Calibri" w:hAnsi="Calibri"/>
          <w:sz w:val="22"/>
          <w:szCs w:val="22"/>
        </w:rPr>
        <w:t xml:space="preserve">The same OTFS waveform that carries data also returns a radar echo; once that echo lands as a delay-Doppler grid, its micro-Doppler signature — how a target's Doppler spread evolves over time — differs meaningfully between a car, a pedestrian, and a two-wheeler, because they move differently at a fine timescale. A lightweight, TensorRT-optimised model classifies which is which, so the eventual alert can be prioritised and phrased appropriately. Range (from the delay index) and relative speed (from the Doppler index) are read directly off the grid; dividing one by the other gives Time-to-Collision, with SENTRY's emergency threshold set at TTC &lt; 1.5 s, the classical critical-danger threshold from the surrogate-safety-measures literature [14]. The team's analytical latency budget breaks the full sense-to-act loop into five stages totalling 8.7 ms (Table 2) — roughly 170× faster than the ~1,500 ms average human reaction time — with an O-RAN Near-RT RIC xApp carving out a prioritised, zero-congestion slice specifically for the safety alert so a fast model's output never queues behind ordinary traffic. Reliability is reinforced by sensor fusion (RF and camera cross-checking each other's detections), fully edge-side processing with no cloud round-trip, and a fail-safe default: if the wireless link drops entirely, a local roadside sign still gives a passive warning.</w:t>
      </w:r>
    </w:p>
    <w:tbl>
      <w:tblPr>
        <w:tblW w:type="dxa" w:w="1000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2200"/>
        <w:gridCol w:w="5200"/>
      </w:tblGrid>
      <w:tr>
        <w:trPr>
          <w:tblHeader/>
        </w:trPr>
        <w:tc>
          <w:tcPr>
            <w:tcW w:type="dxa" w:w="2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Stage</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Budget</w:t>
            </w:r>
          </w:p>
        </w:tc>
        <w:tc>
          <w:tcPr>
            <w:tcW w:type="dxa" w:w="5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What happens</w:t>
            </w:r>
          </w:p>
        </w:tc>
      </w:tr>
      <w:tr>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19"/>
                <w:szCs w:val="19"/>
              </w:rPr>
              <w:t xml:space="preserve">Sense</w:t>
            </w:r>
          </w:p>
        </w:tc>
        <w:tc>
          <w:tcPr>
            <w:tcW w:type="dxa" w:w="22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1.5 ms</w:t>
            </w:r>
          </w:p>
        </w:tc>
        <w:tc>
          <w:tcPr>
            <w:tcW w:type="dxa" w:w="52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Sub-THz pulse emission and echo capture</w:t>
            </w:r>
          </w:p>
        </w:tc>
      </w:tr>
      <w:tr>
        <w:tc>
          <w:tcPr>
            <w:tcW w:type="dxa" w:w="2600"/>
            <w:shd w:fill="F2F2F2" w:val="clear"/>
            <w:tcMar>
              <w:top w:type="dxa" w:w="70"/>
              <w:left w:type="dxa" w:w="100"/>
              <w:bottom w:type="dxa" w:w="70"/>
              <w:right w:type="dxa" w:w="100"/>
            </w:tcMar>
            <w:vAlign w:val="center"/>
          </w:tcPr>
          <w:p>
            <w:pPr>
              <w:jc w:val="left"/>
            </w:pPr>
            <w:r>
              <w:rPr>
                <w:rFonts w:ascii="Calibri" w:cs="Calibri" w:eastAsia="Calibri" w:hAnsi="Calibri"/>
                <w:sz w:val="19"/>
                <w:szCs w:val="19"/>
              </w:rPr>
              <w:t xml:space="preserve">Detect</w:t>
            </w:r>
          </w:p>
        </w:tc>
        <w:tc>
          <w:tcPr>
            <w:tcW w:type="dxa" w:w="2200"/>
            <w:shd w:fill="F2F2F2"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3.2 ms</w:t>
            </w:r>
          </w:p>
        </w:tc>
        <w:tc>
          <w:tcPr>
            <w:tcW w:type="dxa" w:w="5200"/>
            <w:shd w:fill="F2F2F2"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TensorRT micro-Doppler feature extraction</w:t>
            </w:r>
          </w:p>
        </w:tc>
      </w:tr>
      <w:tr>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19"/>
                <w:szCs w:val="19"/>
              </w:rPr>
              <w:t xml:space="preserve">Decide</w:t>
            </w:r>
          </w:p>
        </w:tc>
        <w:tc>
          <w:tcPr>
            <w:tcW w:type="dxa" w:w="22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1.0 ms</w:t>
            </w:r>
          </w:p>
        </w:tc>
        <w:tc>
          <w:tcPr>
            <w:tcW w:type="dxa" w:w="52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Kinematic trajectory and TTC scoring</w:t>
            </w:r>
          </w:p>
        </w:tc>
      </w:tr>
      <w:tr>
        <w:tc>
          <w:tcPr>
            <w:tcW w:type="dxa" w:w="2600"/>
            <w:shd w:fill="F2F2F2" w:val="clear"/>
            <w:tcMar>
              <w:top w:type="dxa" w:w="70"/>
              <w:left w:type="dxa" w:w="100"/>
              <w:bottom w:type="dxa" w:w="70"/>
              <w:right w:type="dxa" w:w="100"/>
            </w:tcMar>
            <w:vAlign w:val="center"/>
          </w:tcPr>
          <w:p>
            <w:pPr>
              <w:jc w:val="left"/>
            </w:pPr>
            <w:r>
              <w:rPr>
                <w:rFonts w:ascii="Calibri" w:cs="Calibri" w:eastAsia="Calibri" w:hAnsi="Calibri"/>
                <w:sz w:val="19"/>
                <w:szCs w:val="19"/>
              </w:rPr>
              <w:t xml:space="preserve">Communicate</w:t>
            </w:r>
          </w:p>
        </w:tc>
        <w:tc>
          <w:tcPr>
            <w:tcW w:type="dxa" w:w="2200"/>
            <w:shd w:fill="F2F2F2"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0.5 ms</w:t>
            </w:r>
          </w:p>
        </w:tc>
        <w:tc>
          <w:tcPr>
            <w:tcW w:type="dxa" w:w="5200"/>
            <w:shd w:fill="F2F2F2"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O-RAN RIC emergency-slice broadcast</w:t>
            </w:r>
          </w:p>
        </w:tc>
      </w:tr>
      <w:tr>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19"/>
                <w:szCs w:val="19"/>
              </w:rPr>
              <w:t xml:space="preserve">Act</w:t>
            </w:r>
          </w:p>
        </w:tc>
        <w:tc>
          <w:tcPr>
            <w:tcW w:type="dxa" w:w="22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2.5 ms</w:t>
            </w:r>
          </w:p>
        </w:tc>
        <w:tc>
          <w:tcPr>
            <w:tcW w:type="dxa" w:w="52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Onboard AEB / CAN-bus relay trigger</w:t>
            </w:r>
          </w:p>
        </w:tc>
      </w:tr>
    </w:tbl>
    <w:p>
      <w:pPr>
        <w:spacing w:after="200" w:before="60"/>
        <w:jc w:val="center"/>
      </w:pPr>
      <w:r>
        <w:rPr>
          <w:rFonts w:ascii="Calibri" w:cs="Calibri" w:eastAsia="Calibri" w:hAnsi="Calibri"/>
          <w:i/>
          <w:iCs/>
          <w:color w:val="595959"/>
          <w:sz w:val="19"/>
          <w:szCs w:val="19"/>
        </w:rPr>
        <w:t xml:space="preserve">Table 2. SENTRY's analytical sense-to-act latency budget, totalling 8.7 ms. Owner: Edge AI &amp; System Execution (Om Goyal).</w:t>
      </w:r>
    </w:p>
    <w:p>
      <w:pPr>
        <w:pStyle w:val="Heading2"/>
        <w:spacing w:after="120" w:before="260"/>
      </w:pPr>
      <w:r>
        <w:rPr>
          <w:rFonts w:ascii="Calibri" w:cs="Calibri" w:eastAsia="Calibri" w:hAnsi="Calibri"/>
          <w:b/>
          <w:bCs/>
          <w:color w:val="2E74B5"/>
          <w:sz w:val="24"/>
          <w:szCs w:val="24"/>
        </w:rPr>
        <w:t xml:space="preserve">5.5 Why this architecture, and not the conventional alternative</w:t>
      </w:r>
    </w:p>
    <w:p>
      <w:pPr>
        <w:spacing w:after="160" w:line="276"/>
        <w:jc w:val="both"/>
      </w:pPr>
      <w:r>
        <w:rPr>
          <w:rFonts w:ascii="Calibri" w:cs="Calibri" w:eastAsia="Calibri" w:hAnsi="Calibri"/>
          <w:sz w:val="22"/>
          <w:szCs w:val="22"/>
        </w:rPr>
        <w:t xml:space="preserve">Table 3 summarises the full architectural contrast between SENTRY and a conventional OFDM-based V2X roadside deployment across all three pillars.</w:t>
      </w:r>
    </w:p>
    <w:tbl>
      <w:tblPr>
        <w:tblW w:type="dxa" w:w="960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3600"/>
        <w:gridCol w:w="3600"/>
      </w:tblGrid>
      <w:tr>
        <w:trPr>
          <w:tblHeader/>
        </w:trPr>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Design dimension</w:t>
            </w:r>
          </w:p>
        </w:tc>
        <w:tc>
          <w:tcPr>
            <w:tcW w:type="dxa" w:w="3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Conventional 6G/V2X projects</w:t>
            </w:r>
          </w:p>
        </w:tc>
        <w:tc>
          <w:tcPr>
            <w:tcW w:type="dxa" w:w="3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SENTRY</w:t>
            </w:r>
          </w:p>
        </w:tc>
      </w:tr>
      <w:tr>
        <w:tc>
          <w:tcPr>
            <w:tcW w:type="dxa" w:w="2400"/>
            <w:shd w:fill="FFFFFF" w:val="clear"/>
            <w:tcMar>
              <w:top w:type="dxa" w:w="70"/>
              <w:left w:type="dxa" w:w="100"/>
              <w:bottom w:type="dxa" w:w="70"/>
              <w:right w:type="dxa" w:w="100"/>
            </w:tcMar>
            <w:vAlign w:val="center"/>
          </w:tcPr>
          <w:p>
            <w:pPr>
              <w:jc w:val="left"/>
            </w:pPr>
            <w:r>
              <w:rPr>
                <w:rFonts w:ascii="Calibri" w:cs="Calibri" w:eastAsia="Calibri" w:hAnsi="Calibri"/>
                <w:sz w:val="19"/>
                <w:szCs w:val="19"/>
              </w:rPr>
              <w:t xml:space="preserve">Hardware overhead</w:t>
            </w:r>
          </w:p>
        </w:tc>
        <w:tc>
          <w:tcPr>
            <w:tcW w:type="dxa" w:w="36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Separate radar unit + separate comms radio, each with its own RF chain</w:t>
            </w:r>
          </w:p>
        </w:tc>
        <w:tc>
          <w:tcPr>
            <w:tcW w:type="dxa" w:w="36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One OTFS waveform does both sensing and communication on the same signal</w:t>
            </w:r>
          </w:p>
        </w:tc>
      </w:tr>
      <w:tr>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sz w:val="19"/>
                <w:szCs w:val="19"/>
              </w:rPr>
              <w:t xml:space="preserve">Infrastructure cost per blind corner</w:t>
            </w:r>
          </w:p>
        </w:tc>
        <w:tc>
          <w:tcPr>
            <w:tcW w:type="dxa" w:w="3600"/>
            <w:shd w:fill="F2F2F2"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Active base station or repeater — needs power, backhaul, maintenance</w:t>
            </w:r>
          </w:p>
        </w:tc>
        <w:tc>
          <w:tcPr>
            <w:tcW w:type="dxa" w:w="3600"/>
            <w:shd w:fill="F2F2F2"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Passive 128-element RIS — zero active RF power, just a reflective panel</w:t>
            </w:r>
          </w:p>
        </w:tc>
      </w:tr>
      <w:tr>
        <w:tc>
          <w:tcPr>
            <w:tcW w:type="dxa" w:w="2400"/>
            <w:shd w:fill="FFFFFF" w:val="clear"/>
            <w:tcMar>
              <w:top w:type="dxa" w:w="70"/>
              <w:left w:type="dxa" w:w="100"/>
              <w:bottom w:type="dxa" w:w="70"/>
              <w:right w:type="dxa" w:w="100"/>
            </w:tcMar>
            <w:vAlign w:val="center"/>
          </w:tcPr>
          <w:p>
            <w:pPr>
              <w:jc w:val="left"/>
            </w:pPr>
            <w:r>
              <w:rPr>
                <w:rFonts w:ascii="Calibri" w:cs="Calibri" w:eastAsia="Calibri" w:hAnsi="Calibri"/>
                <w:sz w:val="19"/>
                <w:szCs w:val="19"/>
              </w:rPr>
              <w:t xml:space="preserve">High-speed mobility handling</w:t>
            </w:r>
          </w:p>
        </w:tc>
        <w:tc>
          <w:tcPr>
            <w:tcW w:type="dxa" w:w="36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OFDM with per-subcarrier Doppler compensation — degrades as speed increases</w:t>
            </w:r>
          </w:p>
        </w:tc>
        <w:tc>
          <w:tcPr>
            <w:tcW w:type="dxa" w:w="36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OTFS maps data into the delay-Doppler domain, close to time-invariant even at high speed</w:t>
            </w:r>
          </w:p>
        </w:tc>
      </w:tr>
      <w:tr>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sz w:val="19"/>
                <w:szCs w:val="19"/>
              </w:rPr>
              <w:t xml:space="preserve">Standards alignment</w:t>
            </w:r>
          </w:p>
        </w:tc>
        <w:tc>
          <w:tcPr>
            <w:tcW w:type="dxa" w:w="3600"/>
            <w:shd w:fill="F2F2F2"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Often bespoke or research-only</w:t>
            </w:r>
          </w:p>
        </w:tc>
        <w:tc>
          <w:tcPr>
            <w:tcW w:type="dxa" w:w="3600"/>
            <w:shd w:fill="F2F2F2"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Aligned to 3GPP Release 19 numerology, ITU-R IMT-2030's ISAC scenario, and O-RAN Near-RT RIC xApp architecture</w:t>
            </w:r>
          </w:p>
        </w:tc>
      </w:tr>
    </w:tbl>
    <w:p>
      <w:pPr>
        <w:spacing w:after="200" w:before="60"/>
        <w:jc w:val="center"/>
      </w:pPr>
      <w:r>
        <w:rPr>
          <w:rFonts w:ascii="Calibri" w:cs="Calibri" w:eastAsia="Calibri" w:hAnsi="Calibri"/>
          <w:i/>
          <w:iCs/>
          <w:color w:val="595959"/>
          <w:sz w:val="19"/>
          <w:szCs w:val="19"/>
        </w:rPr>
        <w:t xml:space="preserve">Table 3. Full architectural comparison, all three pillars. This is the one-table answer to “why is this different from every other 6G project.”</w:t>
      </w:r>
    </w:p>
    <w:p>
      <w:pPr>
        <w:pStyle w:val="Heading1"/>
        <w:pBdr>
          <w:bottom w:val="single" w:color="2E74B5" w:sz="6" w:space="4"/>
        </w:pBdr>
        <w:spacing w:after="180" w:before="380"/>
      </w:pPr>
      <w:r>
        <w:rPr>
          <w:rFonts w:ascii="Calibri" w:cs="Calibri" w:eastAsia="Calibri" w:hAnsi="Calibri"/>
          <w:b/>
          <w:bCs/>
          <w:color w:val="1F3864"/>
          <w:sz w:val="28"/>
          <w:szCs w:val="28"/>
        </w:rPr>
        <w:t xml:space="preserve">6. Novelty We Have Added</w:t>
      </w:r>
    </w:p>
    <w:p>
      <w:pPr>
        <w:spacing w:after="160" w:line="276"/>
        <w:jc w:val="both"/>
      </w:pPr>
      <w:r>
        <w:rPr>
          <w:rFonts w:ascii="Calibri" w:cs="Calibri" w:eastAsia="Calibri" w:hAnsi="Calibri"/>
          <w:sz w:val="22"/>
          <w:szCs w:val="22"/>
        </w:rPr>
        <w:t xml:space="preserve">None of SENTRY's three underlying mechanisms — OTFS, RIS-based beamforming, or radar micro-Doppler classification — is claimed as original invention; Section 3 shows each exists independently in the published literature. SENTRY's novelty is the applied engineering layer combining them into one deployable system, specifically:</w:t>
      </w:r>
    </w:p>
    <w:p>
      <w:pPr>
        <w:pStyle w:val="ListParagraph"/>
        <w:numPr>
          <w:ilvl w:val="0"/>
          <w:numId w:val="2"/>
        </w:numPr>
        <w:spacing w:after="100" w:line="264"/>
      </w:pPr>
      <w:r>
        <w:rPr>
          <w:rFonts w:ascii="Calibri" w:cs="Calibri" w:eastAsia="Calibri" w:hAnsi="Calibri"/>
          <w:sz w:val="22"/>
          <w:szCs w:val="22"/>
        </w:rPr>
        <w:t xml:space="preserve">One signal performs both sensing and communication, instead of requiring two separate radio systems — a structural consequence of building the physical layer in the delay-Doppler domain from the start (Section 4.2).</w:t>
      </w:r>
    </w:p>
    <w:p>
      <w:pPr>
        <w:pStyle w:val="ListParagraph"/>
        <w:numPr>
          <w:ilvl w:val="0"/>
          <w:numId w:val="2"/>
        </w:numPr>
        <w:spacing w:after="100" w:line="264"/>
      </w:pPr>
      <w:r>
        <w:rPr>
          <w:rFonts w:ascii="Calibri" w:cs="Calibri" w:eastAsia="Calibri" w:hAnsi="Calibri"/>
          <w:sz w:val="22"/>
          <w:szCs w:val="22"/>
        </w:rPr>
        <w:t xml:space="preserve">The reflective panel is largely passive, instead of requiring its own active transmitter and power supply at every location, while still being modelled with realistic 1-bit hardware losses rather than an idealised continuous-phase best case (Section 4.3).</w:t>
      </w:r>
    </w:p>
    <w:p>
      <w:pPr>
        <w:pStyle w:val="ListParagraph"/>
        <w:numPr>
          <w:ilvl w:val="0"/>
          <w:numId w:val="2"/>
        </w:numPr>
        <w:spacing w:after="100" w:line="264"/>
      </w:pPr>
      <w:r>
        <w:rPr>
          <w:rFonts w:ascii="Calibri" w:cs="Calibri" w:eastAsia="Calibri" w:hAnsi="Calibri"/>
          <w:sz w:val="22"/>
          <w:szCs w:val="22"/>
        </w:rPr>
        <w:t xml:space="preserve">Heavy computation is deliberately placed at the roadside unit, where power and processing headroom are cheap, rather than demanded of the vehicle's onboard computer.</w:t>
      </w:r>
    </w:p>
    <w:p>
      <w:pPr>
        <w:pStyle w:val="ListParagraph"/>
        <w:numPr>
          <w:ilvl w:val="0"/>
          <w:numId w:val="2"/>
        </w:numPr>
        <w:spacing w:after="100" w:line="264"/>
      </w:pPr>
      <w:r>
        <w:rPr>
          <w:rFonts w:ascii="Calibri" w:cs="Calibri" w:eastAsia="Calibri" w:hAnsi="Calibri"/>
          <w:sz w:val="22"/>
          <w:szCs w:val="22"/>
        </w:rPr>
        <w:t xml:space="preserve">The system is explicitly designed to degrade toward a simpler warning under failure, rather than toward silence — a resilience property carried consistently across all three pillars (Section 4.5).</w:t>
      </w:r>
    </w:p>
    <w:p>
      <w:pPr>
        <w:pStyle w:val="ListParagraph"/>
        <w:numPr>
          <w:ilvl w:val="0"/>
          <w:numId w:val="2"/>
        </w:numPr>
        <w:spacing w:after="100" w:line="264"/>
      </w:pPr>
      <w:r>
        <w:rPr>
          <w:rFonts w:ascii="Calibri" w:cs="Calibri" w:eastAsia="Calibri" w:hAnsi="Calibri"/>
          <w:sz w:val="22"/>
          <w:szCs w:val="22"/>
        </w:rPr>
        <w:t xml:space="preserve">The whole design is aligned to standards already being defined for 6G — 3GPP Release 19 numerology, ITU-R IMT-2030's ISAC usage scenario, and O-RAN's Near-RT RIC — giving it a realistic path to real-world adoption rather than requiring an entirely new ecosystem.</w:t>
      </w:r>
    </w:p>
    <w:p>
      <w:pPr>
        <w:pStyle w:val="ListParagraph"/>
        <w:numPr>
          <w:ilvl w:val="0"/>
          <w:numId w:val="2"/>
        </w:numPr>
        <w:spacing w:after="100" w:line="264"/>
      </w:pPr>
      <w:r>
        <w:rPr>
          <w:rFonts w:ascii="Calibri" w:cs="Calibri" w:eastAsia="Calibri" w:hAnsi="Calibri"/>
          <w:sz w:val="22"/>
          <w:szCs w:val="22"/>
        </w:rPr>
        <w:t xml:space="preserve">Where the closest published research (the IIIT Delhi RIS study, Section 3.2) demonstrates the sensing mechanism in isolation — a detected motion signature, not a classified or actionable warning — SENTRY closes the loop to a classified, risk-scored, and reliably delivered alert, end to end.</w:t>
      </w:r>
    </w:p>
    <w:p>
      <w:pPr>
        <w:pStyle w:val="ListParagraph"/>
        <w:numPr>
          <w:ilvl w:val="0"/>
          <w:numId w:val="2"/>
        </w:numPr>
        <w:spacing w:after="100" w:line="264"/>
      </w:pPr>
      <w:r>
        <w:rPr>
          <w:rFonts w:ascii="Calibri" w:cs="Calibri" w:eastAsia="Calibri" w:hAnsi="Calibri"/>
          <w:sz w:val="22"/>
          <w:szCs w:val="22"/>
        </w:rPr>
        <w:t xml:space="preserve">Engineering honesty as a design discipline, carried across every pillar: each simulation's current scope and explicit next validation step is stated precisely rather than left vague (Section 7).</w:t>
      </w:r>
    </w:p>
    <w:p>
      <w:pPr>
        <w:spacing w:after="160" w:line="276"/>
        <w:jc w:val="both"/>
      </w:pPr>
      <w:r>
        <w:rPr>
          <w:rFonts w:ascii="Calibri" w:cs="Calibri" w:eastAsia="Calibri" w:hAnsi="Calibri"/>
          <w:sz w:val="22"/>
          <w:szCs w:val="22"/>
        </w:rPr>
        <w:t xml:space="preserve">The specific combination the team would seek to protect as the project develops is the hybrid active-passive reflective panel design paired with roadside-unit-side pre-computation — the aspect that is neither pure RIS theory nor a conventional active repeater, but a deliberate middle path engineered for this deployment's cost and latency constraints.</w:t>
      </w:r>
    </w:p>
    <w:p>
      <w:pPr>
        <w:pStyle w:val="Heading1"/>
        <w:pBdr>
          <w:bottom w:val="single" w:color="2E74B5" w:sz="6" w:space="4"/>
        </w:pBdr>
        <w:spacing w:after="180" w:before="380"/>
      </w:pPr>
      <w:r>
        <w:rPr>
          <w:rFonts w:ascii="Calibri" w:cs="Calibri" w:eastAsia="Calibri" w:hAnsi="Calibri"/>
          <w:b/>
          <w:bCs/>
          <w:color w:val="1F3864"/>
          <w:sz w:val="28"/>
          <w:szCs w:val="28"/>
        </w:rPr>
        <w:t xml:space="preserve">7. Validation: Simulations A, B, and the Latency Budget</w:t>
      </w:r>
    </w:p>
    <w:p>
      <w:pPr>
        <w:pStyle w:val="Heading2"/>
        <w:spacing w:after="120" w:before="260"/>
      </w:pPr>
      <w:r>
        <w:rPr>
          <w:rFonts w:ascii="Calibri" w:cs="Calibri" w:eastAsia="Calibri" w:hAnsi="Calibri"/>
          <w:b/>
          <w:bCs/>
          <w:color w:val="2E74B5"/>
          <w:sz w:val="24"/>
          <w:szCs w:val="24"/>
        </w:rPr>
        <w:t xml:space="preserve">7.1 Simulation A — OTFS vs OFDM under Doppler (Physical Layer)</w:t>
      </w:r>
    </w:p>
    <w:p>
      <w:pPr>
        <w:spacing w:after="160" w:line="276"/>
        <w:jc w:val="both"/>
      </w:pPr>
      <w:r>
        <w:rPr>
          <w:rFonts w:ascii="Calibri" w:cs="Calibri" w:eastAsia="Calibri" w:hAnsi="Calibri"/>
          <w:sz w:val="22"/>
          <w:szCs w:val="22"/>
        </w:rPr>
        <w:t xml:space="preserve">Simulation A passes a single synthetic channel — two reflectors at fixed delay/Doppler positions on a 32×32 grid — through both an OTFS chain and an OFDM chain at 28 GHz and 100 km/h, then plots the resulting grids side by side. Both reflectors remain sharp, separated impulse peaks under OTFS; the same channel visibly smears across neighbouring subcarriers and symbols under OFDM. This directly demonstrates the mechanism argued for analytically in Section 5.2. What it does not yet show: the current model is block-circular and noise-free, demonstrating the qualitative mechanism rather than a full Monte Carlo bit-error-rate-versus-SNR sweep. The explicit next step is to add a cyclic prefix, a multi-tap Rayleigh fading channel, and an LMMSE equalizer, to report a measured BER curve down to the 10⁻⁴ range.</w:t>
      </w:r>
    </w:p>
    <w:p>
      <w:pPr>
        <w:pStyle w:val="Heading2"/>
        <w:spacing w:after="120" w:before="260"/>
      </w:pPr>
      <w:r>
        <w:rPr>
          <w:rFonts w:ascii="Calibri" w:cs="Calibri" w:eastAsia="Calibri" w:hAnsi="Calibri"/>
          <w:b/>
          <w:bCs/>
          <w:color w:val="2E74B5"/>
          <w:sz w:val="24"/>
          <w:szCs w:val="24"/>
        </w:rPr>
        <w:t xml:space="preserve">7.2 Simulation B — RIS coverage heatmap (Electromagnetics)</w:t>
      </w:r>
    </w:p>
    <w:p>
      <w:pPr>
        <w:spacing w:after="160" w:line="276"/>
        <w:jc w:val="both"/>
      </w:pPr>
      <w:r>
        <w:rPr>
          <w:rFonts w:ascii="Calibri" w:cs="Calibri" w:eastAsia="Calibri" w:hAnsi="Calibri"/>
          <w:sz w:val="22"/>
          <w:szCs w:val="22"/>
        </w:rPr>
        <w:t xml:space="preserve">Simulation B places an RSU and the 128-element RIS at a modelled 90° intersection and computes received SNR across a 30 m × 30 m area for two cases: without RIS and with the RIS active. Without RIS, the region behind the building drops into a low-SNR blind zone; with RIS active, that same zone is pulled back up to a usable SNR level — a clear, visual before/after. What it does not yet show: the current model assumes ideal, lossless, phase-coherent reflection at the array level; the explicit next step is a full element-by-element hardware model accounting for the 1-bit quantization loss per point along a vehicle's trajectory, rather than as a single averaged number.</w:t>
      </w:r>
    </w:p>
    <w:p>
      <w:pPr>
        <w:pStyle w:val="Heading2"/>
        <w:spacing w:after="120" w:before="260"/>
      </w:pPr>
      <w:r>
        <w:rPr>
          <w:rFonts w:ascii="Calibri" w:cs="Calibri" w:eastAsia="Calibri" w:hAnsi="Calibri"/>
          <w:b/>
          <w:bCs/>
          <w:color w:val="2E74B5"/>
          <w:sz w:val="24"/>
          <w:szCs w:val="24"/>
        </w:rPr>
        <w:t xml:space="preserve">7.3 The sense-to-act latency budget (Edge AI)</w:t>
      </w:r>
    </w:p>
    <w:p>
      <w:pPr>
        <w:spacing w:after="160" w:line="276"/>
        <w:jc w:val="both"/>
      </w:pPr>
      <w:r>
        <w:rPr>
          <w:rFonts w:ascii="Calibri" w:cs="Calibri" w:eastAsia="Calibri" w:hAnsi="Calibri"/>
          <w:sz w:val="22"/>
          <w:szCs w:val="22"/>
        </w:rPr>
        <w:t xml:space="preserve">The 8.7 ms figure in Table 2 is an analytical, stage-by-stage budget derived from known component behaviour (RF pulse timing, TensorRT inference class timings, RIC signalling), not yet a profiled measurement on real RF or compute hardware. The explicit next step is to instrument each stage with wall-clock profiling around a real inference call and report a measured, not estimated, end-to-end latency.</w:t>
      </w:r>
    </w:p>
    <w:p>
      <w:pPr>
        <w:pStyle w:val="Heading2"/>
        <w:spacing w:after="120" w:before="260"/>
      </w:pPr>
      <w:r>
        <w:rPr>
          <w:rFonts w:ascii="Calibri" w:cs="Calibri" w:eastAsia="Calibri" w:hAnsi="Calibri"/>
          <w:b/>
          <w:bCs/>
          <w:color w:val="2E74B5"/>
          <w:sz w:val="24"/>
          <w:szCs w:val="24"/>
        </w:rPr>
        <w:t xml:space="preserve">7.4 Consolidated honesty position</w:t>
      </w:r>
    </w:p>
    <w:p>
      <w:pPr>
        <w:spacing w:after="160" w:line="276"/>
        <w:jc w:val="both"/>
      </w:pPr>
      <w:r>
        <w:rPr>
          <w:rFonts w:ascii="Calibri" w:cs="Calibri" w:eastAsia="Calibri" w:hAnsi="Calibri"/>
          <w:sz w:val="22"/>
          <w:szCs w:val="22"/>
        </w:rPr>
        <w:t xml:space="preserve">Across all three pillars, SENTRY's validation follows the same pattern deliberately: each simulation demonstrates a mechanism under a simplified model, each has an explicitly stated next validation step, and none of the three pillars claims a hardware-measured result it has not actually obtained. This is presented as a design discipline in its own right (Section 6), and the team treats it as the honest answer to the toughest likely question at either venue: “have you actually measured this, or just modelled it?”</w:t>
      </w:r>
    </w:p>
    <w:p>
      <w:pPr>
        <w:pStyle w:val="Heading1"/>
        <w:pBdr>
          <w:bottom w:val="single" w:color="2E74B5" w:sz="6" w:space="4"/>
        </w:pBdr>
        <w:spacing w:after="180" w:before="380"/>
      </w:pPr>
      <w:r>
        <w:rPr>
          <w:rFonts w:ascii="Calibri" w:cs="Calibri" w:eastAsia="Calibri" w:hAnsi="Calibri"/>
          <w:b/>
          <w:bCs/>
          <w:color w:val="1F3864"/>
          <w:sz w:val="28"/>
          <w:szCs w:val="28"/>
        </w:rPr>
        <w:t xml:space="preserve">8. Team Contributions</w:t>
      </w:r>
    </w:p>
    <w:p>
      <w:pPr>
        <w:spacing w:after="160" w:line="276"/>
        <w:jc w:val="both"/>
      </w:pPr>
      <w:r>
        <w:rPr>
          <w:rFonts w:ascii="Calibri" w:cs="Calibri" w:eastAsia="Calibri" w:hAnsi="Calibri"/>
          <w:sz w:val="22"/>
          <w:szCs w:val="22"/>
        </w:rPr>
        <w:t xml:space="preserve">SENTRY is a three-person effort with clearly delineated ownership, summarised below for attribution and for judges' or reviewers' reference on who to direct pillar-specific questions to.</w:t>
      </w:r>
    </w:p>
    <w:tbl>
      <w:tblPr>
        <w:tblW w:type="dxa" w:w="9600"/>
        <w:tblBorders>
          <w:top w:val="single" w:color="BFBFBF" w:sz="4"/>
          <w:left w:val="single" w:color="BFBFBF" w:sz="4"/>
          <w:bottom w:val="single" w:color="BFBFBF" w:sz="4"/>
          <w:right w:val="single" w:color="BFBFBF" w:sz="4"/>
          <w:insideH w:val="single" w:color="D9D9D9" w:sz="4"/>
          <w:insideV w:val="single" w:color="D9D9D9" w:sz="4"/>
        </w:tblBorders>
      </w:tblPr>
      <w:tblGrid>
        <w:gridCol w:w="3600"/>
        <w:gridCol w:w="2200"/>
        <w:gridCol w:w="3800"/>
      </w:tblGrid>
      <w:tr>
        <w:trPr>
          <w:tblHeader/>
        </w:trPr>
        <w:tc>
          <w:tcPr>
            <w:tcW w:type="dxa" w:w="3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Pillar</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Owner</w:t>
            </w:r>
          </w:p>
        </w:tc>
        <w:tc>
          <w:tcPr>
            <w:tcW w:type="dxa" w:w="38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Scope</w:t>
            </w:r>
          </w:p>
        </w:tc>
      </w:tr>
      <w:tr>
        <w:tc>
          <w:tcPr>
            <w:tcW w:type="dxa" w:w="3600"/>
            <w:shd w:fill="FFFFFF" w:val="clear"/>
            <w:tcMar>
              <w:top w:type="dxa" w:w="70"/>
              <w:left w:type="dxa" w:w="100"/>
              <w:bottom w:type="dxa" w:w="70"/>
              <w:right w:type="dxa" w:w="100"/>
            </w:tcMar>
            <w:vAlign w:val="center"/>
          </w:tcPr>
          <w:p>
            <w:pPr>
              <w:jc w:val="left"/>
            </w:pPr>
            <w:r>
              <w:rPr>
                <w:rFonts w:ascii="Calibri" w:cs="Calibri" w:eastAsia="Calibri" w:hAnsi="Calibri"/>
                <w:sz w:val="19"/>
                <w:szCs w:val="19"/>
              </w:rPr>
              <w:t xml:space="preserve">Physical Layer &amp; Waveform</w:t>
            </w:r>
          </w:p>
        </w:tc>
        <w:tc>
          <w:tcPr>
            <w:tcW w:type="dxa" w:w="22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Aryan Iyengar</w:t>
            </w:r>
          </w:p>
        </w:tc>
        <w:tc>
          <w:tcPr>
            <w:tcW w:type="dxa" w:w="38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OTFS vs. OFDM waveform design, Doppler analysis, Simulation A</w:t>
            </w:r>
          </w:p>
        </w:tc>
      </w:tr>
      <w:tr>
        <w:tc>
          <w:tcPr>
            <w:tcW w:type="dxa" w:w="3600"/>
            <w:shd w:fill="F2F2F2" w:val="clear"/>
            <w:tcMar>
              <w:top w:type="dxa" w:w="70"/>
              <w:left w:type="dxa" w:w="100"/>
              <w:bottom w:type="dxa" w:w="70"/>
              <w:right w:type="dxa" w:w="100"/>
            </w:tcMar>
            <w:vAlign w:val="center"/>
          </w:tcPr>
          <w:p>
            <w:pPr>
              <w:jc w:val="left"/>
            </w:pPr>
            <w:r>
              <w:rPr>
                <w:rFonts w:ascii="Calibri" w:cs="Calibri" w:eastAsia="Calibri" w:hAnsi="Calibri"/>
                <w:sz w:val="19"/>
                <w:szCs w:val="19"/>
              </w:rPr>
              <w:t xml:space="preserve">Electromagnetics &amp; Spatial Link Budget</w:t>
            </w:r>
          </w:p>
        </w:tc>
        <w:tc>
          <w:tcPr>
            <w:tcW w:type="dxa" w:w="2200"/>
            <w:shd w:fill="F2F2F2"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Mou</w:t>
            </w:r>
          </w:p>
        </w:tc>
        <w:tc>
          <w:tcPr>
            <w:tcW w:type="dxa" w:w="3800"/>
            <w:shd w:fill="F2F2F2"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RIS physics, path-loss and coherent-gain link budget, Simulation B</w:t>
            </w:r>
          </w:p>
        </w:tc>
      </w:tr>
      <w:tr>
        <w:tc>
          <w:tcPr>
            <w:tcW w:type="dxa" w:w="3600"/>
            <w:shd w:fill="FFFFFF" w:val="clear"/>
            <w:tcMar>
              <w:top w:type="dxa" w:w="70"/>
              <w:left w:type="dxa" w:w="100"/>
              <w:bottom w:type="dxa" w:w="70"/>
              <w:right w:type="dxa" w:w="100"/>
            </w:tcMar>
            <w:vAlign w:val="center"/>
          </w:tcPr>
          <w:p>
            <w:pPr>
              <w:jc w:val="left"/>
            </w:pPr>
            <w:r>
              <w:rPr>
                <w:rFonts w:ascii="Calibri" w:cs="Calibri" w:eastAsia="Calibri" w:hAnsi="Calibri"/>
                <w:sz w:val="19"/>
                <w:szCs w:val="19"/>
              </w:rPr>
              <w:t xml:space="preserve">Edge AI &amp; System Execution</w:t>
            </w:r>
          </w:p>
        </w:tc>
        <w:tc>
          <w:tcPr>
            <w:tcW w:type="dxa" w:w="22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Om Goyal</w:t>
            </w:r>
          </w:p>
        </w:tc>
        <w:tc>
          <w:tcPr>
            <w:tcW w:type="dxa" w:w="38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Micro-Doppler classification, TTC scoring, latency budget, O-RAN RIC, Simulation C</w:t>
            </w:r>
          </w:p>
        </w:tc>
      </w:tr>
    </w:tbl>
    <w:p>
      <w:pPr>
        <w:spacing w:after="200" w:before="60"/>
        <w:jc w:val="center"/>
      </w:pPr>
      <w:r>
        <w:rPr>
          <w:rFonts w:ascii="Calibri" w:cs="Calibri" w:eastAsia="Calibri" w:hAnsi="Calibri"/>
          <w:i/>
          <w:iCs/>
          <w:color w:val="595959"/>
          <w:sz w:val="19"/>
          <w:szCs w:val="19"/>
        </w:rPr>
        <w:t xml:space="preserve">Table 4. Pillar ownership within Team CacheMe.</w:t>
      </w:r>
    </w:p>
    <w:p>
      <w:pPr>
        <w:pStyle w:val="Heading1"/>
        <w:pBdr>
          <w:bottom w:val="single" w:color="2E74B5" w:sz="6" w:space="4"/>
        </w:pBdr>
        <w:spacing w:after="180" w:before="380"/>
      </w:pPr>
      <w:r>
        <w:rPr>
          <w:rFonts w:ascii="Calibri" w:cs="Calibri" w:eastAsia="Calibri" w:hAnsi="Calibri"/>
          <w:b/>
          <w:bCs/>
          <w:color w:val="1F3864"/>
          <w:sz w:val="28"/>
          <w:szCs w:val="28"/>
        </w:rPr>
        <w:t xml:space="preserve">9. Conclusion and Roadmap</w:t>
      </w:r>
    </w:p>
    <w:p>
      <w:pPr>
        <w:spacing w:after="160" w:line="276"/>
        <w:jc w:val="both"/>
      </w:pPr>
      <w:r>
        <w:rPr>
          <w:rFonts w:ascii="Calibri" w:cs="Calibri" w:eastAsia="Calibri" w:hAnsi="Calibri"/>
          <w:sz w:val="22"/>
          <w:szCs w:val="22"/>
        </w:rPr>
        <w:t xml:space="preserve">This document has scoped, justified, architecturally explained, and preliminarily validated SENTRY end to end: an OTFS-based roadside waveform, a passive 128-element RIS, and an edge-AI classification-and-alert pipeline, combined into a single system that lets a vehicle sense a hazard it cannot see, without a second powered sensor at every blind corner. Positioned for IMC 2026, this is offered as a concrete, standards-aligned building block toward the ISAC usage scenario India's 6G roadmap has already committed to, rather than an isolated student project.</w:t>
      </w:r>
    </w:p>
    <w:p>
      <w:pPr>
        <w:spacing w:after="160" w:line="276"/>
        <w:jc w:val="both"/>
      </w:pPr>
      <w:r>
        <w:rPr>
          <w:rFonts w:ascii="Calibri" w:cs="Calibri" w:eastAsia="Calibri" w:hAnsi="Calibri"/>
          <w:sz w:val="22"/>
          <w:szCs w:val="22"/>
        </w:rPr>
        <w:t xml:space="preserve">The team's staged roadmap is: (1) simulate and prototype — the OTFS waveform, RIS field model, and ISAC pipeline latency budget documented in this report; (2) an SDR hardware testbed to validate OTFS on real radio hardware and measure, rather than model, RIS reflection gain; (3) a pilot at a real NLOS intersection in partnership with a transport authority, drawing on MoRTH's own black-spot inventory; and (4) city-scale and ADAS/AV integration, with RSU-derived risk data exposed as a standards-aligned API input. Every stage is deliberately kept aligned to 3GPP Release 19, ITU-R IMT-2030's ISAC scenario, O-RAN Near-RT RIC, and IEEE 802.11bd V2X.</w:t>
      </w:r>
    </w:p>
    <w:p>
      <w:pPr>
        <w:pStyle w:val="Heading1"/>
        <w:pBdr>
          <w:bottom w:val="single" w:color="2E74B5" w:sz="6" w:space="4"/>
        </w:pBdr>
        <w:spacing w:after="180" w:before="380"/>
      </w:pPr>
      <w:r>
        <w:rPr>
          <w:rFonts w:ascii="Calibri" w:cs="Calibri" w:eastAsia="Calibri" w:hAnsi="Calibri"/>
          <w:b/>
          <w:bCs/>
          <w:color w:val="1F3864"/>
          <w:sz w:val="28"/>
          <w:szCs w:val="28"/>
        </w:rPr>
        <w:t xml:space="preserve">References</w:t>
      </w:r>
    </w:p>
    <w:p>
      <w:pPr>
        <w:spacing w:after="140" w:line="264"/>
        <w:ind w:left="504" w:hanging="504"/>
        <w:jc w:val="both"/>
      </w:pPr>
      <w:r>
        <w:rPr>
          <w:rFonts w:ascii="Calibri" w:cs="Calibri" w:eastAsia="Calibri" w:hAnsi="Calibri"/>
          <w:b/>
          <w:bCs/>
          <w:sz w:val="20"/>
          <w:szCs w:val="20"/>
        </w:rPr>
        <w:t xml:space="preserve">[1]  </w:t>
      </w:r>
      <w:r>
        <w:rPr>
          <w:rFonts w:ascii="Calibri" w:cs="Calibri" w:eastAsia="Calibri" w:hAnsi="Calibri"/>
          <w:sz w:val="20"/>
          <w:szCs w:val="20"/>
        </w:rPr>
        <w:t xml:space="preserve">R. Hadani, S. Rakib, M. Tsatsanis, A. Monk, A. J. Goldsmith, A. F. Molisch, and R. Calderbank, “Orthogonal Time Frequency Space Modulation,” in Proc. IEEE Wireless Communications and Networking Conference (WCNC), San Francisco, CA, USA, Mar. 2017.</w:t>
      </w:r>
    </w:p>
    <w:p>
      <w:pPr>
        <w:spacing w:after="140" w:line="264"/>
        <w:ind w:left="504" w:hanging="504"/>
        <w:jc w:val="both"/>
      </w:pPr>
      <w:r>
        <w:rPr>
          <w:rFonts w:ascii="Calibri" w:cs="Calibri" w:eastAsia="Calibri" w:hAnsi="Calibri"/>
          <w:b/>
          <w:bCs/>
          <w:sz w:val="20"/>
          <w:szCs w:val="20"/>
        </w:rPr>
        <w:t xml:space="preserve">[2]  </w:t>
      </w:r>
      <w:r>
        <w:rPr>
          <w:rFonts w:ascii="Calibri" w:cs="Calibri" w:eastAsia="Calibri" w:hAnsi="Calibri"/>
          <w:sz w:val="20"/>
          <w:szCs w:val="20"/>
        </w:rPr>
        <w:t xml:space="preserve">G. D. Surabhi, R. M. Augustine, and A. Chockalingam, “On the Diversity of Uncoded OTFS Modulation in Doubly-Dispersive Channels,” IEEE Trans. Wireless Commun., vol. 18, no. 6, pp. 3049–3063, Jun. 2019.</w:t>
      </w:r>
    </w:p>
    <w:p>
      <w:pPr>
        <w:spacing w:after="140" w:line="264"/>
        <w:ind w:left="504" w:hanging="504"/>
        <w:jc w:val="both"/>
      </w:pPr>
      <w:r>
        <w:rPr>
          <w:rFonts w:ascii="Calibri" w:cs="Calibri" w:eastAsia="Calibri" w:hAnsi="Calibri"/>
          <w:b/>
          <w:bCs/>
          <w:sz w:val="20"/>
          <w:szCs w:val="20"/>
        </w:rPr>
        <w:t xml:space="preserve">[3]  </w:t>
      </w:r>
      <w:r>
        <w:rPr>
          <w:rFonts w:ascii="Calibri" w:cs="Calibri" w:eastAsia="Calibri" w:hAnsi="Calibri"/>
          <w:sz w:val="20"/>
          <w:szCs w:val="20"/>
        </w:rPr>
        <w:t xml:space="preserve">T. Wang, J. G. Proakis, E. Masry, and J. R. Zeidler, “Performance Degradation of OFDM Systems Due to Doppler Spreading,” IEEE Trans. Wireless Commun., vol. 5, no. 6, pp. 1422–1432, Jun. 2006.</w:t>
      </w:r>
    </w:p>
    <w:p>
      <w:pPr>
        <w:spacing w:after="140" w:line="264"/>
        <w:ind w:left="504" w:hanging="504"/>
        <w:jc w:val="both"/>
      </w:pPr>
      <w:r>
        <w:rPr>
          <w:rFonts w:ascii="Calibri" w:cs="Calibri" w:eastAsia="Calibri" w:hAnsi="Calibri"/>
          <w:b/>
          <w:bCs/>
          <w:sz w:val="20"/>
          <w:szCs w:val="20"/>
        </w:rPr>
        <w:t xml:space="preserve">[4]  </w:t>
      </w:r>
      <w:r>
        <w:rPr>
          <w:rFonts w:ascii="Calibri" w:cs="Calibri" w:eastAsia="Calibri" w:hAnsi="Calibri"/>
          <w:sz w:val="20"/>
          <w:szCs w:val="20"/>
        </w:rPr>
        <w:t xml:space="preserve">Z. Li, W. Yuan, B. Li, J. Wu, C. You, and F. Meng, “Reconfigurable-Intelligent-Surface-Aided OTFS: Transmission Scheme and Channel Estimation,” IEEE Internet of Things Journal, vol. 10, no. 22, pp. 19518–19532, Nov. 2023.</w:t>
      </w:r>
    </w:p>
    <w:p>
      <w:pPr>
        <w:spacing w:after="140" w:line="264"/>
        <w:ind w:left="504" w:hanging="504"/>
        <w:jc w:val="both"/>
      </w:pPr>
      <w:r>
        <w:rPr>
          <w:rFonts w:ascii="Calibri" w:cs="Calibri" w:eastAsia="Calibri" w:hAnsi="Calibri"/>
          <w:b/>
          <w:bCs/>
          <w:sz w:val="20"/>
          <w:szCs w:val="20"/>
        </w:rPr>
        <w:t xml:space="preserve">[5]  </w:t>
      </w:r>
      <w:r>
        <w:rPr>
          <w:rFonts w:ascii="Calibri" w:cs="Calibri" w:eastAsia="Calibri" w:hAnsi="Calibri"/>
          <w:sz w:val="20"/>
          <w:szCs w:val="20"/>
        </w:rPr>
        <w:t xml:space="preserve">A. S. Bora, K. T. Phan, and Y. Hong, “IRS-Assisted High Mobility Communications Using OTFS Modulation,” IEEE Wireless Communications Letters, vol. 12, no. 2, pp. 376–380, Feb. 2023.</w:t>
      </w:r>
    </w:p>
    <w:p>
      <w:pPr>
        <w:spacing w:after="140" w:line="264"/>
        <w:ind w:left="504" w:hanging="504"/>
        <w:jc w:val="both"/>
      </w:pPr>
      <w:r>
        <w:rPr>
          <w:rFonts w:ascii="Calibri" w:cs="Calibri" w:eastAsia="Calibri" w:hAnsi="Calibri"/>
          <w:b/>
          <w:bCs/>
          <w:sz w:val="20"/>
          <w:szCs w:val="20"/>
        </w:rPr>
        <w:t xml:space="preserve">[6]  </w:t>
      </w:r>
      <w:r>
        <w:rPr>
          <w:rFonts w:ascii="Calibri" w:cs="Calibri" w:eastAsia="Calibri" w:hAnsi="Calibri"/>
          <w:sz w:val="20"/>
          <w:szCs w:val="20"/>
        </w:rPr>
        <w:t xml:space="preserve">V. S. Bhat, G. Harshavardhan, and A. Chockalingam, “Input-Output Relation and Performance of RIS-Aided OTFS with Fractional Delay-Doppler,” IEEE Communications Letters, vol. 27, no. 1, pp. 337–341, Jan. 2023.</w:t>
      </w:r>
    </w:p>
    <w:p>
      <w:pPr>
        <w:spacing w:after="140" w:line="264"/>
        <w:ind w:left="504" w:hanging="504"/>
        <w:jc w:val="both"/>
      </w:pPr>
      <w:r>
        <w:rPr>
          <w:rFonts w:ascii="Calibri" w:cs="Calibri" w:eastAsia="Calibri" w:hAnsi="Calibri"/>
          <w:b/>
          <w:bCs/>
          <w:sz w:val="20"/>
          <w:szCs w:val="20"/>
        </w:rPr>
        <w:t xml:space="preserve">[7]  </w:t>
      </w:r>
      <w:r>
        <w:rPr>
          <w:rFonts w:ascii="Calibri" w:cs="Calibri" w:eastAsia="Calibri" w:hAnsi="Calibri"/>
          <w:sz w:val="20"/>
          <w:szCs w:val="20"/>
        </w:rPr>
        <w:t xml:space="preserve">K. Yasmeen, D. Kundu, and S. S. Ram, “Around-the-Corner Radar Sensing Using Reconfigurable Intelligent Surface,” Indraprastha Institute of Information Technology (IIIT) Delhi, 2026.</w:t>
      </w:r>
    </w:p>
    <w:p>
      <w:pPr>
        <w:spacing w:after="140" w:line="264"/>
        <w:ind w:left="504" w:hanging="504"/>
        <w:jc w:val="both"/>
      </w:pPr>
      <w:r>
        <w:rPr>
          <w:rFonts w:ascii="Calibri" w:cs="Calibri" w:eastAsia="Calibri" w:hAnsi="Calibri"/>
          <w:b/>
          <w:bCs/>
          <w:sz w:val="20"/>
          <w:szCs w:val="20"/>
        </w:rPr>
        <w:t xml:space="preserve">[8]  </w:t>
      </w:r>
      <w:r>
        <w:rPr>
          <w:rFonts w:ascii="Calibri" w:cs="Calibri" w:eastAsia="Calibri" w:hAnsi="Calibri"/>
          <w:sz w:val="20"/>
          <w:szCs w:val="20"/>
        </w:rPr>
        <w:t xml:space="preserve">International Telecommunication Union – Radiocommunication Sector (ITU-R), Recommendation ITU-R M.2160, “Framework and Overall Objectives of the Future Development of IMT for 2030 and Beyond,” 2023.</w:t>
      </w:r>
    </w:p>
    <w:p>
      <w:pPr>
        <w:spacing w:after="140" w:line="264"/>
        <w:ind w:left="504" w:hanging="504"/>
        <w:jc w:val="both"/>
      </w:pPr>
      <w:r>
        <w:rPr>
          <w:rFonts w:ascii="Calibri" w:cs="Calibri" w:eastAsia="Calibri" w:hAnsi="Calibri"/>
          <w:b/>
          <w:bCs/>
          <w:sz w:val="20"/>
          <w:szCs w:val="20"/>
        </w:rPr>
        <w:t xml:space="preserve">[9]  </w:t>
      </w:r>
      <w:r>
        <w:rPr>
          <w:rFonts w:ascii="Calibri" w:cs="Calibri" w:eastAsia="Calibri" w:hAnsi="Calibri"/>
          <w:sz w:val="20"/>
          <w:szCs w:val="20"/>
        </w:rPr>
        <w:t xml:space="preserve">3GPP TR 22.837, “Feasibility Study on Integrated Sensing and Communication,” 3GPP Technical Specification Group SA1, Release 19.</w:t>
      </w:r>
    </w:p>
    <w:p>
      <w:pPr>
        <w:spacing w:after="140" w:line="264"/>
        <w:ind w:left="504" w:hanging="504"/>
        <w:jc w:val="both"/>
      </w:pPr>
      <w:r>
        <w:rPr>
          <w:rFonts w:ascii="Calibri" w:cs="Calibri" w:eastAsia="Calibri" w:hAnsi="Calibri"/>
          <w:b/>
          <w:bCs/>
          <w:sz w:val="20"/>
          <w:szCs w:val="20"/>
        </w:rPr>
        <w:t xml:space="preserve">[10]  </w:t>
      </w:r>
      <w:r>
        <w:rPr>
          <w:rFonts w:ascii="Calibri" w:cs="Calibri" w:eastAsia="Calibri" w:hAnsi="Calibri"/>
          <w:sz w:val="20"/>
          <w:szCs w:val="20"/>
        </w:rPr>
        <w:t xml:space="preserve">O-RAN Alliance, “O-RAN Architecture Description — Near-Real-Time RAN Intelligent Controller (Near-RT RIC) and xApp Framework,” O-RAN.WG3 Technical Specification.</w:t>
      </w:r>
    </w:p>
    <w:p>
      <w:pPr>
        <w:spacing w:after="140" w:line="264"/>
        <w:ind w:left="504" w:hanging="504"/>
        <w:jc w:val="both"/>
      </w:pPr>
      <w:r>
        <w:rPr>
          <w:rFonts w:ascii="Calibri" w:cs="Calibri" w:eastAsia="Calibri" w:hAnsi="Calibri"/>
          <w:b/>
          <w:bCs/>
          <w:sz w:val="20"/>
          <w:szCs w:val="20"/>
        </w:rPr>
        <w:t xml:space="preserve">[11]  </w:t>
      </w:r>
      <w:r>
        <w:rPr>
          <w:rFonts w:ascii="Calibri" w:cs="Calibri" w:eastAsia="Calibri" w:hAnsi="Calibri"/>
          <w:sz w:val="20"/>
          <w:szCs w:val="20"/>
        </w:rPr>
        <w:t xml:space="preserve">Ministry of Road Transport and Highways (MoRTH), Government of India, “Road Accidents in India — 2024,” Transport Research Wing, New Delhi; and MoRTH black-spot rectification programme data, as reported via SIAM, 2024.</w:t>
      </w:r>
    </w:p>
    <w:p>
      <w:pPr>
        <w:spacing w:after="140" w:line="264"/>
        <w:ind w:left="504" w:hanging="504"/>
        <w:jc w:val="both"/>
      </w:pPr>
      <w:r>
        <w:rPr>
          <w:rFonts w:ascii="Calibri" w:cs="Calibri" w:eastAsia="Calibri" w:hAnsi="Calibri"/>
          <w:b/>
          <w:bCs/>
          <w:sz w:val="20"/>
          <w:szCs w:val="20"/>
        </w:rPr>
        <w:t xml:space="preserve">[12]  </w:t>
      </w:r>
      <w:r>
        <w:rPr>
          <w:rFonts w:ascii="Calibri" w:cs="Calibri" w:eastAsia="Calibri" w:hAnsi="Calibri"/>
          <w:sz w:val="20"/>
          <w:szCs w:val="20"/>
        </w:rPr>
        <w:t xml:space="preserve">Q. Wu and R. Zhang, “Beamforming Optimization for Wireless Network Aided by Intelligent Reflecting Surface with Discrete Phase Shifts,” IEEE Trans. Commun., vol. 68, no. 3, pp. 1838–1851, Mar. 2020; and Q. Wu and R. Zhang, “Intelligent Reflecting Surface Enhanced Wireless Network via Joint Active and Passive Beamforming,” IEEE Trans. Wireless Commun., vol. 18, no. 11, pp. 5394–5409, Nov. 2019.</w:t>
      </w:r>
    </w:p>
    <w:p>
      <w:pPr>
        <w:spacing w:after="140" w:line="264"/>
        <w:ind w:left="504" w:hanging="504"/>
        <w:jc w:val="both"/>
      </w:pPr>
      <w:r>
        <w:rPr>
          <w:rFonts w:ascii="Calibri" w:cs="Calibri" w:eastAsia="Calibri" w:hAnsi="Calibri"/>
          <w:b/>
          <w:bCs/>
          <w:sz w:val="20"/>
          <w:szCs w:val="20"/>
        </w:rPr>
        <w:t xml:space="preserve">[13]  </w:t>
      </w:r>
      <w:r>
        <w:rPr>
          <w:rFonts w:ascii="Calibri" w:cs="Calibri" w:eastAsia="Calibri" w:hAnsi="Calibri"/>
          <w:sz w:val="20"/>
          <w:szCs w:val="20"/>
        </w:rPr>
        <w:t xml:space="preserve">H. Li, Y. Xiang, H. Xu, and W. Wang, “Pedestrian Recognition with Radar Data-Enhanced Deep Learning Approach Based on Micro-Doppler Signatures,” arXiv:2306.08303, 2023.</w:t>
      </w:r>
    </w:p>
    <w:p>
      <w:pPr>
        <w:spacing w:after="140" w:line="264"/>
        <w:ind w:left="504" w:hanging="504"/>
        <w:jc w:val="both"/>
      </w:pPr>
      <w:r>
        <w:rPr>
          <w:rFonts w:ascii="Calibri" w:cs="Calibri" w:eastAsia="Calibri" w:hAnsi="Calibri"/>
          <w:b/>
          <w:bCs/>
          <w:sz w:val="20"/>
          <w:szCs w:val="20"/>
        </w:rPr>
        <w:t xml:space="preserve">[14]  </w:t>
      </w:r>
      <w:r>
        <w:rPr>
          <w:rFonts w:ascii="Calibri" w:cs="Calibri" w:eastAsia="Calibri" w:hAnsi="Calibri"/>
          <w:sz w:val="20"/>
          <w:szCs w:val="20"/>
        </w:rPr>
        <w:t xml:space="preserve">J. C. Hayward, “Near-Miss Determination Through Use of a Scale of Danger,” Highway Research Record, no. 384, pp. 24–34, 1972.</w:t>
      </w:r>
    </w:p>
    <w:p>
      <w:pPr>
        <w:spacing w:after="140" w:line="264"/>
        <w:ind w:left="504" w:hanging="504"/>
        <w:jc w:val="both"/>
      </w:pPr>
      <w:r>
        <w:rPr>
          <w:rFonts w:ascii="Calibri" w:cs="Calibri" w:eastAsia="Calibri" w:hAnsi="Calibri"/>
          <w:b/>
          <w:bCs/>
          <w:sz w:val="20"/>
          <w:szCs w:val="20"/>
        </w:rPr>
        <w:t xml:space="preserve">[15]  </w:t>
      </w:r>
      <w:r>
        <w:rPr>
          <w:rFonts w:ascii="Calibri" w:cs="Calibri" w:eastAsia="Calibri" w:hAnsi="Calibri"/>
          <w:sz w:val="20"/>
          <w:szCs w:val="20"/>
        </w:rPr>
        <w:t xml:space="preserve">SENTRY — Team CacheMe, “Stage 1 Application, Vishwakarma Awards 2026–27: Theme 7, Physical AI for Resilience and Inclusion,” and “SENTRY Team Technical Briefing,” internal team documentation, 2026.</w:t>
      </w:r>
    </w:p>
    <w:p>
      <w:pPr>
        <w:spacing w:before="400"/>
      </w:pPr>
      <w:r>
        <w:rPr>
          <w:sz w:val="2"/>
          <w:szCs w:val="2"/>
        </w:rPr>
        <w:t xml:space="preserve"/>
      </w:r>
    </w:p>
    <w:sectPr>
      <w:headerReference w:type="default" r:id="rId7"/>
      <w:footerReference w:type="default" r:id="rId8"/>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Team CacheMe — SENTRY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5"/>
        <w:szCs w:val="15"/>
      </w:rPr>
      <w:t xml:space="preserve">SENTRY — Team CacheMe  |  IMC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2026-09-21T15:42:44.574Z</dcterms:created>
  <dcterms:modified xsi:type="dcterms:W3CDTF">2026-09-21T15:42:44.583Z</dcterms:modified>
</cp:coreProperties>
</file>

<file path=docProps/custom.xml><?xml version="1.0" encoding="utf-8"?>
<Properties xmlns="http://schemas.openxmlformats.org/officeDocument/2006/custom-properties" xmlns:vt="http://schemas.openxmlformats.org/officeDocument/2006/docPropsVTypes"/>
</file>