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rFonts w:ascii="Calibri" w:cs="Calibri" w:eastAsia="Calibri" w:hAnsi="Calibri"/>
          <w:b/>
          <w:bCs/>
          <w:color w:val="1F3864"/>
          <w:sz w:val="44"/>
          <w:szCs w:val="44"/>
        </w:rPr>
        <w:t xml:space="preserve">SENTRY v3</w:t>
      </w:r>
    </w:p>
    <w:p>
      <w:pPr>
        <w:spacing w:after="40"/>
        <w:jc w:val="left"/>
      </w:pPr>
      <w:r>
        <w:rPr>
          <w:rFonts w:ascii="Calibri" w:cs="Calibri" w:eastAsia="Calibri" w:hAnsi="Calibri"/>
          <w:color w:val="1F3864"/>
          <w:sz w:val="24"/>
          <w:szCs w:val="24"/>
        </w:rPr>
        <w:t xml:space="preserve">An AI-Driven 6G ISAC System for Non-Line-of-Sight Road Safety</w:t>
      </w:r>
    </w:p>
    <w:p>
      <w:pPr>
        <w:spacing w:after="260"/>
        <w:jc w:val="left"/>
      </w:pPr>
      <w:r>
        <w:rPr>
          <w:rFonts w:ascii="Calibri" w:cs="Calibri" w:eastAsia="Calibri" w:hAnsi="Calibri"/>
          <w:i/>
          <w:iCs/>
          <w:color w:val="595959"/>
          <w:sz w:val="21"/>
          <w:szCs w:val="21"/>
        </w:rPr>
        <w:t xml:space="preserve">Team CacheMe · Problem Statement 5</w:t>
      </w:r>
    </w:p>
    <w:p>
      <w:pPr>
        <w:spacing w:after="100"/>
      </w:pPr>
      <w:r>
        <w:rPr>
          <w:rFonts w:ascii="Calibri" w:cs="Calibri" w:eastAsia="Calibri" w:hAnsi="Calibri"/>
          <w:b/>
          <w:bCs/>
          <w:sz w:val="21"/>
          <w:szCs w:val="21"/>
        </w:rPr>
        <w:t xml:space="preserve">Highlight key — where each review finding hardened the design</w:t>
      </w:r>
    </w:p>
    <w:p>
      <w:pPr>
        <w:pStyle w:val="ListParagraph"/>
        <w:numPr>
          <w:ilvl w:val="0"/>
          <w:numId w:val="2"/>
        </w:numPr>
        <w:spacing w:after="90" w:line="264"/>
      </w:pPr>
      <w:r>
        <w:rPr>
          <w:rFonts w:ascii="Calibri" w:cs="Calibri" w:eastAsia="Calibri" w:hAnsi="Calibri"/>
          <w:b/>
          <w:bCs/>
          <w:sz w:val="22"/>
          <w:szCs w:val="22"/>
          <w:highlight w:val="yellow"/>
          <w:highlightCs w:val="yellow"/>
        </w:rPr>
        <w:t xml:space="preserve">RSU / Vehicle Compute Framing — Corrected</w:t>
      </w:r>
    </w:p>
    <w:p>
      <w:pPr>
        <w:pStyle w:val="ListParagraph"/>
        <w:numPr>
          <w:ilvl w:val="0"/>
          <w:numId w:val="2"/>
        </w:numPr>
        <w:spacing w:after="90" w:line="264"/>
      </w:pPr>
      <w:r>
        <w:rPr>
          <w:rFonts w:ascii="Calibri" w:cs="Calibri" w:eastAsia="Calibri" w:hAnsi="Calibri"/>
          <w:b/>
          <w:bCs/>
          <w:sz w:val="22"/>
          <w:szCs w:val="22"/>
          <w:highlight w:val="yellow"/>
          <w:highlightCs w:val="yellow"/>
        </w:rPr>
        <w:t xml:space="preserve">Standards Claim — Corrected to Match the Evidence</w:t>
      </w:r>
    </w:p>
    <w:p>
      <w:pPr>
        <w:pStyle w:val="ListParagraph"/>
        <w:numPr>
          <w:ilvl w:val="0"/>
          <w:numId w:val="2"/>
        </w:numPr>
        <w:spacing w:after="90" w:line="264"/>
      </w:pPr>
      <w:r>
        <w:rPr>
          <w:rFonts w:ascii="Calibri" w:cs="Calibri" w:eastAsia="Calibri" w:hAnsi="Calibri"/>
          <w:b/>
          <w:bCs/>
          <w:sz w:val="22"/>
          <w:szCs w:val="22"/>
          <w:highlight w:val="yellow"/>
          <w:highlightCs w:val="yellow"/>
        </w:rPr>
        <w:t xml:space="preserve">Range-Resolution &amp; BER Validation Roadmap — Added</w:t>
      </w:r>
    </w:p>
    <w:p>
      <w:pPr>
        <w:pStyle w:val="ListParagraph"/>
        <w:numPr>
          <w:ilvl w:val="0"/>
          <w:numId w:val="2"/>
        </w:numPr>
        <w:spacing w:after="90" w:line="264"/>
      </w:pPr>
      <w:r>
        <w:rPr>
          <w:rFonts w:ascii="Calibri" w:cs="Calibri" w:eastAsia="Calibri" w:hAnsi="Calibri"/>
          <w:b/>
          <w:bCs/>
          <w:sz w:val="22"/>
          <w:szCs w:val="22"/>
          <w:highlight w:val="yellow"/>
          <w:highlightCs w:val="yellow"/>
        </w:rPr>
        <w:t xml:space="preserve">Cost-Parity Defense vs. Conventional Radar — Added</w:t>
      </w:r>
    </w:p>
    <w:p>
      <w:pPr>
        <w:pStyle w:val="ListParagraph"/>
        <w:numPr>
          <w:ilvl w:val="0"/>
          <w:numId w:val="2"/>
        </w:numPr>
        <w:spacing w:after="260"/>
      </w:pPr>
      <w:r>
        <w:rPr>
          <w:rFonts w:ascii="Calibri" w:cs="Calibri" w:eastAsia="Calibri" w:hAnsi="Calibri"/>
          <w:b/>
          <w:bCs/>
          <w:sz w:val="22"/>
          <w:szCs w:val="22"/>
          <w:highlight w:val="yellow"/>
          <w:highlightCs w:val="yellow"/>
        </w:rPr>
        <w:t xml:space="preserve">Patent Process — Freedom-to-Operate Search Sequenced Before Filing</w:t>
      </w:r>
    </w:p>
    <w:p>
      <w:pPr>
        <w:pStyle w:val="Heading1"/>
        <w:pBdr>
          <w:bottom w:val="single" w:color="2E74B5" w:sz="6" w:space="4"/>
        </w:pBdr>
        <w:spacing w:after="180" w:before="380"/>
      </w:pPr>
      <w:r>
        <w:rPr>
          <w:rFonts w:ascii="Calibri" w:cs="Calibri" w:eastAsia="Calibri" w:hAnsi="Calibri"/>
          <w:b/>
          <w:bCs/>
          <w:color w:val="1F3864"/>
          <w:sz w:val="27"/>
          <w:szCs w:val="27"/>
        </w:rPr>
        <w:t xml:space="preserve">1. The Problem, Clearly Stated</w:t>
      </w:r>
    </w:p>
    <w:p>
      <w:pPr>
        <w:spacing w:after="160" w:line="276"/>
        <w:jc w:val="both"/>
      </w:pPr>
      <w:r>
        <w:rPr>
          <w:rFonts w:ascii="Calibri" w:cs="Calibri" w:eastAsia="Calibri" w:hAnsi="Calibri"/>
          <w:sz w:val="22"/>
          <w:szCs w:val="22"/>
        </w:rPr>
        <w:t xml:space="preserve">At a blind, right-angled intersection, a building stands directly between an approaching vehicle and whatever is coming the other way — another vehicle, a cyclist, a pedestrian stepping off the curb. Neither the driver's eyes nor a conventional onboard sensor can see through a wall. This is not a failure of attention or technology quality; it is a failure of geometry. No amount of extra processing power fixes a signal that physically never reaches the receiver.</w:t>
      </w:r>
    </w:p>
    <w:p>
      <w:pPr>
        <w:spacing w:after="160" w:line="276"/>
        <w:jc w:val="both"/>
      </w:pPr>
      <w:r>
        <w:rPr>
          <w:rFonts w:ascii="Calibri" w:cs="Calibri" w:eastAsia="Calibri" w:hAnsi="Calibri"/>
          <w:sz w:val="22"/>
          <w:szCs w:val="22"/>
        </w:rPr>
        <w:t xml:space="preserve">Layered on top of this is a second, separate problem: even where a signal can reach a moving vehicle, standard wireless designs are built around the assumption that the channel barely changes during a single transmission. A vehicle moving at real road speed breaks that assumption, introducing interference that gets worse, not better, as speed increases — exactly when reliable communication matters most.</w:t>
      </w:r>
    </w:p>
    <w:p>
      <w:pPr>
        <w:spacing w:after="160" w:line="276"/>
        <w:jc w:val="both"/>
      </w:pPr>
      <w:r>
        <w:rPr>
          <w:rFonts w:ascii="Calibri" w:cs="Calibri" w:eastAsia="Calibri" w:hAnsi="Calibri"/>
          <w:sz w:val="22"/>
          <w:szCs w:val="22"/>
        </w:rPr>
        <w:t xml:space="preserve">The conventional response to the first problem — installing a second, independently powered sensing-and-communication unit at every blind corner — does not scale. Every additional unit needs its own power supply, its own maintenance, and its own backhaul connection, multiplying cost linearly with the number of dangerous corners in a city, of which there are many.</w:t>
      </w:r>
    </w:p>
    <w:p>
      <w:pPr>
        <w:spacing w:after="160" w:line="276"/>
        <w:jc w:val="both"/>
      </w:pPr>
      <w:r>
        <w:rPr>
          <w:rFonts w:ascii="Calibri" w:cs="Calibri" w:eastAsia="Calibri" w:hAnsi="Calibri"/>
          <w:sz w:val="22"/>
          <w:szCs w:val="22"/>
        </w:rPr>
        <w:t xml:space="preserve">Stated at its simplest: a vehicle approaching a blind corner cannot detect a hazard it has no physical line of sight to, any fix has to keep working as speed increases rather than break down, and the fix has to be affordable enough to install at a very large number of locations, not just one demonstration site.</w:t>
      </w:r>
    </w:p>
    <w:p>
      <w:pPr>
        <w:spacing w:after="160" w:line="276"/>
        <w:jc w:val="both"/>
      </w:pPr>
      <w:r>
        <w:rPr>
          <w:rFonts w:ascii="Calibri" w:cs="Calibri" w:eastAsia="Calibri" w:hAnsi="Calibri"/>
          <w:sz w:val="22"/>
          <w:szCs w:val="22"/>
          <w:highlight w:val="yellow"/>
          <w:highlightCs w:val="yellow"/>
        </w:rPr>
        <w:t xml:space="preserve">This is not a hypothetical scale problem. MoRTH's </w:t>
      </w:r>
      <w:r>
        <w:rPr>
          <w:rFonts w:ascii="Calibri" w:cs="Calibri" w:eastAsia="Calibri" w:hAnsi="Calibri"/>
          <w:i/>
          <w:iCs/>
          <w:sz w:val="22"/>
          <w:szCs w:val="22"/>
          <w:highlight w:val="yellow"/>
          <w:highlightCs w:val="yellow"/>
        </w:rPr>
        <w:t xml:space="preserve">Road Accidents in India 2024</w:t>
      </w:r>
      <w:r>
        <w:rPr>
          <w:rFonts w:ascii="Calibri" w:cs="Calibri" w:eastAsia="Calibri" w:hAnsi="Calibri"/>
          <w:sz w:val="22"/>
          <w:szCs w:val="22"/>
          <w:highlight w:val="yellow"/>
          <w:highlightCs w:val="yellow"/>
        </w:rPr>
        <w:t xml:space="preserve"> report recorded two-wheeler riders as the single largest road-fatality group — 84,599 deaths — with pedestrians a close second at 25,769; together, these two unprotected road-user categories account for well over a third of all road deaths nationally, and neither group is reliably detected by vehicle-centric safety systems at a blind corner.</w:t>
      </w:r>
    </w:p>
    <w:p>
      <w:pPr>
        <w:pStyle w:val="Heading1"/>
        <w:pBdr>
          <w:bottom w:val="single" w:color="2E74B5" w:sz="6" w:space="4"/>
        </w:pBdr>
        <w:spacing w:after="180" w:before="380"/>
      </w:pPr>
      <w:r>
        <w:rPr>
          <w:rFonts w:ascii="Calibri" w:cs="Calibri" w:eastAsia="Calibri" w:hAnsi="Calibri"/>
          <w:b/>
          <w:bCs/>
          <w:color w:val="1F3864"/>
          <w:sz w:val="27"/>
          <w:szCs w:val="27"/>
        </w:rPr>
        <w:t xml:space="preserve">2. The Core Idea — What It Was, and What It Has Become</w:t>
      </w:r>
    </w:p>
    <w:p>
      <w:pPr>
        <w:spacing w:after="160" w:line="276"/>
        <w:jc w:val="both"/>
      </w:pPr>
      <w:r>
        <w:rPr>
          <w:rFonts w:ascii="Calibri" w:cs="Calibri" w:eastAsia="Calibri" w:hAnsi="Calibri"/>
          <w:sz w:val="22"/>
          <w:szCs w:val="22"/>
        </w:rPr>
        <w:t xml:space="preserve">The foundational idea has not changed: use one intelligently designed radio signal to both sense and communicate, and use a passive reflective panel to redirect that signal around an obstruction instead of installing a second powered unit at every blind corner. What has changed, from the first version of SENTRY to this one, is an honest reckoning with where that original idea was still idealized — and a deliberate hardening of exactly those weak points, driven by the team's own suggestions and, in this round, by a structured research review (highlighted below).</w:t>
      </w:r>
    </w:p>
    <w:tbl>
      <w:tblPr>
        <w:tblW w:type="dxa" w:w="9360"/>
        <w:tblBorders>
          <w:top w:val="single" w:color="BFBFBF" w:sz="4"/>
          <w:left w:val="single" w:color="BFBFBF" w:sz="4"/>
          <w:bottom w:val="single" w:color="BFBFBF" w:sz="4"/>
          <w:right w:val="single" w:color="BFBFBF" w:sz="4"/>
          <w:insideH w:val="single" w:color="D9D9D9" w:sz="4"/>
          <w:insideV w:val="single" w:color="D9D9D9" w:sz="4"/>
        </w:tblBorders>
      </w:tblPr>
      <w:tblGrid>
        <w:gridCol w:w="2200"/>
        <w:gridCol w:w="3580"/>
        <w:gridCol w:w="3580"/>
      </w:tblGrid>
      <w:tr>
        <w:trPr>
          <w:tblHeader/>
        </w:trPr>
        <w:tc>
          <w:tcPr>
            <w:tcW w:type="dxa" w:w="2200"/>
            <w:shd w:fill="1F3864"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Dimension</w:t>
            </w:r>
          </w:p>
        </w:tc>
        <w:tc>
          <w:tcPr>
            <w:tcW w:type="dxa" w:w="3580"/>
            <w:shd w:fill="1F3864"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SENTRY v1 (Original Concept)</w:t>
            </w:r>
          </w:p>
        </w:tc>
        <w:tc>
          <w:tcPr>
            <w:tcW w:type="dxa" w:w="3580"/>
            <w:shd w:fill="1F3864"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SENTRY v2 / v3 (Hardened)</w:t>
            </w:r>
          </w:p>
        </w:tc>
      </w:tr>
      <w:tr>
        <w:tc>
          <w:tcPr>
            <w:tcW w:type="dxa" w:w="2200"/>
            <w:shd w:fill="FFFFFF" w:val="clear"/>
            <w:tcMar>
              <w:top w:type="dxa" w:w="100"/>
              <w:left w:type="dxa" w:w="120"/>
              <w:bottom w:type="dxa" w:w="100"/>
              <w:right w:type="dxa" w:w="120"/>
            </w:tcMar>
            <w:vAlign w:val="center"/>
          </w:tcPr>
          <w:p>
            <w:pPr>
              <w:spacing w:after="0" w:line="276"/>
              <w:jc w:val="both"/>
            </w:pPr>
            <w:r>
              <w:rPr>
                <w:rFonts w:ascii="Calibri" w:cs="Calibri" w:eastAsia="Calibri" w:hAnsi="Calibri"/>
                <w:sz w:val="22"/>
                <w:szCs w:val="22"/>
              </w:rPr>
              <w:t xml:space="preserve">Reflector</w:t>
            </w:r>
          </w:p>
        </w:tc>
        <w:tc>
          <w:tcPr>
            <w:tcW w:type="dxa" w:w="3580"/>
            <w:shd w:fill="FFFFFF" w:val="clear"/>
            <w:tcMar>
              <w:top w:type="dxa" w:w="100"/>
              <w:left w:type="dxa" w:w="120"/>
              <w:bottom w:type="dxa" w:w="100"/>
              <w:right w:type="dxa" w:w="120"/>
            </w:tcMar>
            <w:vAlign w:val="center"/>
          </w:tcPr>
          <w:p>
            <w:pPr>
              <w:spacing w:after="0" w:line="276"/>
              <w:jc w:val="both"/>
            </w:pPr>
            <w:r>
              <w:rPr>
                <w:rFonts w:ascii="Calibri" w:cs="Calibri" w:eastAsia="Calibri" w:hAnsi="Calibri"/>
                <w:sz w:val="22"/>
                <w:szCs w:val="22"/>
              </w:rPr>
              <w:t xml:space="preserve">Purely passive RIS, modelled with ideal, lossless, always-coherent reflection</w:t>
            </w:r>
          </w:p>
        </w:tc>
        <w:tc>
          <w:tcPr>
            <w:tcW w:type="dxa" w:w="3580"/>
            <w:shd w:fill="FFFFFF" w:val="clear"/>
            <w:tcMar>
              <w:top w:type="dxa" w:w="100"/>
              <w:left w:type="dxa" w:w="120"/>
              <w:bottom w:type="dxa" w:w="100"/>
              <w:right w:type="dxa" w:w="120"/>
            </w:tcMar>
            <w:vAlign w:val="center"/>
          </w:tcPr>
          <w:p>
            <w:pPr>
              <w:spacing w:after="0" w:line="276"/>
              <w:jc w:val="both"/>
            </w:pPr>
            <w:r>
              <w:rPr>
                <w:rFonts w:ascii="Calibri" w:cs="Calibri" w:eastAsia="Calibri" w:hAnsi="Calibri"/>
                <w:sz w:val="22"/>
                <w:szCs w:val="22"/>
                <w:highlight w:val="yellow"/>
                <w:highlightCs w:val="yellow"/>
              </w:rPr>
              <w:t xml:space="preserve">Active-Reflection RIS: passive by default across ~90–95% of elements, with a small active fraction (~5–10% of the 128 elements, Section 6.3) that engages only when conditions (rain, steep angles, hardware quantization loss) degrade the reflected signal</w:t>
            </w:r>
          </w:p>
        </w:tc>
      </w:tr>
      <w:tr>
        <w:tc>
          <w:tcPr>
            <w:tcW w:type="dxa" w:w="2200"/>
            <w:shd w:fill="F2F2F2" w:val="clear"/>
            <w:tcMar>
              <w:top w:type="dxa" w:w="100"/>
              <w:left w:type="dxa" w:w="120"/>
              <w:bottom w:type="dxa" w:w="100"/>
              <w:right w:type="dxa" w:w="120"/>
            </w:tcMar>
            <w:vAlign w:val="center"/>
          </w:tcPr>
          <w:p>
            <w:pPr>
              <w:spacing w:after="0" w:line="276"/>
              <w:jc w:val="both"/>
            </w:pPr>
            <w:r>
              <w:rPr>
                <w:rFonts w:ascii="Calibri" w:cs="Calibri" w:eastAsia="Calibri" w:hAnsi="Calibri"/>
                <w:sz w:val="22"/>
                <w:szCs w:val="22"/>
              </w:rPr>
              <w:t xml:space="preserve">Where the vehicle's own compute burden sits</w:t>
            </w:r>
          </w:p>
        </w:tc>
        <w:tc>
          <w:tcPr>
            <w:tcW w:type="dxa" w:w="3580"/>
            <w:shd w:fill="F2F2F2" w:val="clear"/>
            <w:tcMar>
              <w:top w:type="dxa" w:w="100"/>
              <w:left w:type="dxa" w:w="120"/>
              <w:bottom w:type="dxa" w:w="100"/>
              <w:right w:type="dxa" w:w="120"/>
            </w:tcMar>
            <w:vAlign w:val="center"/>
          </w:tcPr>
          <w:p>
            <w:pPr>
              <w:spacing w:after="0" w:line="276"/>
              <w:jc w:val="both"/>
            </w:pPr>
            <w:r>
              <w:rPr>
                <w:rFonts w:ascii="Calibri" w:cs="Calibri" w:eastAsia="Calibri" w:hAnsi="Calibri"/>
                <w:sz w:val="22"/>
                <w:szCs w:val="22"/>
                <w:highlight w:val="yellow"/>
                <w:highlightCs w:val="yellow"/>
              </w:rPr>
              <w:t xml:space="preserve">The roadside unit already carried the heavier sensing-side computation — but v1 left unaddressed how the vehicle's own onboard computer would perform its full communication-receive OTFS demodulation in real time</w:t>
            </w:r>
          </w:p>
        </w:tc>
        <w:tc>
          <w:tcPr>
            <w:tcW w:type="dxa" w:w="3580"/>
            <w:shd w:fill="F2F2F2" w:val="clear"/>
            <w:tcMar>
              <w:top w:type="dxa" w:w="100"/>
              <w:left w:type="dxa" w:w="120"/>
              <w:bottom w:type="dxa" w:w="100"/>
              <w:right w:type="dxa" w:w="120"/>
            </w:tcMar>
            <w:vAlign w:val="center"/>
          </w:tcPr>
          <w:p>
            <w:pPr>
              <w:spacing w:after="0" w:line="276"/>
              <w:jc w:val="both"/>
            </w:pPr>
            <w:r>
              <w:rPr>
                <w:rFonts w:ascii="Calibri" w:cs="Calibri" w:eastAsia="Calibri" w:hAnsi="Calibri"/>
                <w:sz w:val="22"/>
                <w:szCs w:val="22"/>
                <w:highlight w:val="yellow"/>
                <w:highlightCs w:val="yellow"/>
              </w:rPr>
              <w:t xml:space="preserve">The roadside unit pre-compensates the parts of the channel it already knows in advance (its own position, the reflector's position, the intersection geometry); the vehicle only resolves its own residual motion, a lighter task</w:t>
            </w:r>
          </w:p>
        </w:tc>
      </w:tr>
      <w:tr>
        <w:tc>
          <w:tcPr>
            <w:tcW w:type="dxa" w:w="2200"/>
            <w:shd w:fill="FFFFFF" w:val="clear"/>
            <w:tcMar>
              <w:top w:type="dxa" w:w="100"/>
              <w:left w:type="dxa" w:w="120"/>
              <w:bottom w:type="dxa" w:w="100"/>
              <w:right w:type="dxa" w:w="120"/>
            </w:tcMar>
            <w:vAlign w:val="center"/>
          </w:tcPr>
          <w:p>
            <w:pPr>
              <w:spacing w:after="0" w:line="276"/>
              <w:jc w:val="both"/>
            </w:pPr>
            <w:r>
              <w:rPr>
                <w:rFonts w:ascii="Calibri" w:cs="Calibri" w:eastAsia="Calibri" w:hAnsi="Calibri"/>
                <w:sz w:val="22"/>
                <w:szCs w:val="22"/>
              </w:rPr>
              <w:t xml:space="preserve">What the system 'sees'</w:t>
            </w:r>
          </w:p>
        </w:tc>
        <w:tc>
          <w:tcPr>
            <w:tcW w:type="dxa" w:w="3580"/>
            <w:shd w:fill="FFFFFF" w:val="clear"/>
            <w:tcMar>
              <w:top w:type="dxa" w:w="100"/>
              <w:left w:type="dxa" w:w="120"/>
              <w:bottom w:type="dxa" w:w="100"/>
              <w:right w:type="dxa" w:w="120"/>
            </w:tcMar>
            <w:vAlign w:val="center"/>
          </w:tcPr>
          <w:p>
            <w:pPr>
              <w:spacing w:after="0" w:line="276"/>
              <w:jc w:val="both"/>
            </w:pPr>
            <w:r>
              <w:rPr>
                <w:rFonts w:ascii="Calibri" w:cs="Calibri" w:eastAsia="Calibri" w:hAnsi="Calibri"/>
                <w:sz w:val="22"/>
                <w:szCs w:val="22"/>
              </w:rPr>
              <w:t xml:space="preserve">Modelled against a clean, synthetic channel with isolated reflectors and no clutter</w:t>
            </w:r>
          </w:p>
        </w:tc>
        <w:tc>
          <w:tcPr>
            <w:tcW w:type="dxa" w:w="3580"/>
            <w:shd w:fill="FFFFFF" w:val="clear"/>
            <w:tcMar>
              <w:top w:type="dxa" w:w="100"/>
              <w:left w:type="dxa" w:w="120"/>
              <w:bottom w:type="dxa" w:w="100"/>
              <w:right w:type="dxa" w:w="120"/>
            </w:tcMar>
            <w:vAlign w:val="center"/>
          </w:tcPr>
          <w:p>
            <w:pPr>
              <w:spacing w:after="0" w:line="276"/>
              <w:jc w:val="both"/>
            </w:pPr>
            <w:r>
              <w:rPr>
                <w:rFonts w:ascii="Calibri" w:cs="Calibri" w:eastAsia="Calibri" w:hAnsi="Calibri"/>
                <w:sz w:val="22"/>
                <w:szCs w:val="22"/>
                <w:highlight w:val="yellow"/>
                <w:highlightCs w:val="yellow"/>
              </w:rPr>
              <w:t xml:space="preserve">Zero-Doppler masking filters out stationary clutter (parked cars, buildings) at low cost, while a spatio-temporal AI model is layered on top to correctly interpret ambiguous, slow-moving clutter (swaying trees, blown debris) instead of mistaking it for a hazard</w:t>
            </w:r>
          </w:p>
        </w:tc>
      </w:tr>
      <w:tr>
        <w:tc>
          <w:tcPr>
            <w:tcW w:type="dxa" w:w="2200"/>
            <w:shd w:fill="F2F2F2" w:val="clear"/>
            <w:tcMar>
              <w:top w:type="dxa" w:w="100"/>
              <w:left w:type="dxa" w:w="120"/>
              <w:bottom w:type="dxa" w:w="100"/>
              <w:right w:type="dxa" w:w="120"/>
            </w:tcMar>
            <w:vAlign w:val="center"/>
          </w:tcPr>
          <w:p>
            <w:pPr>
              <w:spacing w:after="0" w:line="276"/>
              <w:jc w:val="both"/>
            </w:pPr>
            <w:r>
              <w:rPr>
                <w:rFonts w:ascii="Calibri" w:cs="Calibri" w:eastAsia="Calibri" w:hAnsi="Calibri"/>
                <w:sz w:val="22"/>
                <w:szCs w:val="22"/>
              </w:rPr>
              <w:t xml:space="preserve">How the alert reaches the vehicle</w:t>
            </w:r>
          </w:p>
        </w:tc>
        <w:tc>
          <w:tcPr>
            <w:tcW w:type="dxa" w:w="3580"/>
            <w:shd w:fill="F2F2F2" w:val="clear"/>
            <w:tcMar>
              <w:top w:type="dxa" w:w="100"/>
              <w:left w:type="dxa" w:w="120"/>
              <w:bottom w:type="dxa" w:w="100"/>
              <w:right w:type="dxa" w:w="120"/>
            </w:tcMar>
            <w:vAlign w:val="center"/>
          </w:tcPr>
          <w:p>
            <w:pPr>
              <w:spacing w:after="0" w:line="276"/>
              <w:jc w:val="both"/>
            </w:pPr>
            <w:r>
              <w:rPr>
                <w:rFonts w:ascii="Calibri" w:cs="Calibri" w:eastAsia="Calibri" w:hAnsi="Calibri"/>
                <w:sz w:val="22"/>
                <w:szCs w:val="22"/>
              </w:rPr>
              <w:t xml:space="preserve">A single network path was assumed to always deliver the alert on time</w:t>
            </w:r>
          </w:p>
        </w:tc>
        <w:tc>
          <w:tcPr>
            <w:tcW w:type="dxa" w:w="3580"/>
            <w:shd w:fill="F2F2F2" w:val="clear"/>
            <w:tcMar>
              <w:top w:type="dxa" w:w="100"/>
              <w:left w:type="dxa" w:w="120"/>
              <w:bottom w:type="dxa" w:w="100"/>
              <w:right w:type="dxa" w:w="120"/>
            </w:tcMar>
            <w:vAlign w:val="center"/>
          </w:tcPr>
          <w:p>
            <w:pPr>
              <w:spacing w:after="0" w:line="276"/>
              <w:jc w:val="both"/>
            </w:pPr>
            <w:r>
              <w:rPr>
                <w:rFonts w:ascii="Calibri" w:cs="Calibri" w:eastAsia="Calibri" w:hAnsi="Calibri"/>
                <w:sz w:val="22"/>
                <w:szCs w:val="22"/>
                <w:highlight w:val="yellow"/>
                <w:highlightCs w:val="yellow"/>
              </w:rPr>
              <w:t xml:space="preserve">The alert is broadcast redundantly over two independent paths at once (a cellular path and a direct vehicle-to-vehicle sidelink), so a dropped packet or network delay on one path doesn't break the safety loop</w:t>
            </w:r>
          </w:p>
        </w:tc>
      </w:tr>
    </w:tbl>
    <w:p>
      <w:pPr>
        <w:spacing w:after="160" w:line="276"/>
        <w:jc w:val="both"/>
      </w:pPr>
      <w:r>
        <w:rPr>
          <w:rFonts w:ascii="Calibri" w:cs="Calibri" w:eastAsia="Calibri" w:hAnsi="Calibri"/>
          <w:sz w:val="22"/>
          <w:szCs w:val="22"/>
        </w:rPr>
        <w:t xml:space="preserve">In short: SENTRY v1 was a physics-correct concept, proven under clean, idealized conditions. SENTRY v2 hardened that same core idea against the specific conditions a real street, a real vehicle computer, and a real network actually present.</w:t>
      </w:r>
    </w:p>
    <w:p>
      <w:pPr>
        <w:spacing w:after="160" w:line="276"/>
        <w:jc w:val="both"/>
      </w:pPr>
      <w:r>
        <w:rPr>
          <w:rFonts w:ascii="Calibri" w:cs="Calibri" w:eastAsia="Calibri" w:hAnsi="Calibri"/>
          <w:sz w:val="22"/>
          <w:szCs w:val="22"/>
          <w:highlight w:val="yellow"/>
          <w:highlightCs w:val="yellow"/>
        </w:rPr>
        <w:t xml:space="preserve">SENTRY v3 keeps that same engineering, but closes the gap between what the documentation claimed and what the evidence actually supports.</w:t>
      </w:r>
    </w:p>
    <w:p>
      <w:pPr>
        <w:pStyle w:val="Heading2"/>
        <w:spacing w:after="100" w:before="220"/>
      </w:pPr>
      <w:r>
        <w:rPr>
          <w:rFonts w:ascii="Calibri" w:cs="Calibri" w:eastAsia="Calibri" w:hAnsi="Calibri"/>
          <w:b/>
          <w:bCs/>
          <w:color w:val="2E74B5"/>
          <w:sz w:val="23"/>
          <w:szCs w:val="23"/>
        </w:rPr>
        <w:t xml:space="preserve">2.1 What This Round Corrected or Added (v2 → v3)</w:t>
      </w:r>
    </w:p>
    <w:p>
      <w:pPr>
        <w:spacing w:after="160" w:line="276"/>
        <w:jc w:val="both"/>
      </w:pPr>
      <w:r>
        <w:rPr>
          <w:rFonts w:ascii="Calibri" w:cs="Calibri" w:eastAsia="Calibri" w:hAnsi="Calibri"/>
          <w:sz w:val="22"/>
          <w:szCs w:val="22"/>
        </w:rPr>
        <w:t xml:space="preserve">This round of review came from a structured research pass — patent and literature search, competitive benchmarking, and a standards-currency check — rather than internal suggestion alone. Five specific findings changed the document; none of them change the underlying engineering.</w:t>
      </w:r>
    </w:p>
    <w:tbl>
      <w:tblPr>
        <w:tblW w:type="dxa" w:w="9360"/>
        <w:tblBorders>
          <w:top w:val="single" w:color="BFBFBF" w:sz="4"/>
          <w:left w:val="single" w:color="BFBFBF" w:sz="4"/>
          <w:bottom w:val="single" w:color="BFBFBF" w:sz="4"/>
          <w:right w:val="single" w:color="BFBFBF" w:sz="4"/>
          <w:insideH w:val="single" w:color="D9D9D9" w:sz="4"/>
          <w:insideV w:val="single" w:color="D9D9D9" w:sz="4"/>
        </w:tblBorders>
      </w:tblPr>
      <w:tblGrid>
        <w:gridCol w:w="4680"/>
        <w:gridCol w:w="4680"/>
      </w:tblGrid>
      <w:tr>
        <w:trPr>
          <w:tblHeader/>
        </w:trPr>
        <w:tc>
          <w:tcPr>
            <w:tcW w:type="dxa" w:w="4680"/>
            <w:shd w:fill="1F3864"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Finding</w:t>
            </w:r>
          </w:p>
        </w:tc>
        <w:tc>
          <w:tcPr>
            <w:tcW w:type="dxa" w:w="4680"/>
            <w:shd w:fill="1F3864"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What v3 changes</w:t>
            </w:r>
          </w:p>
        </w:tc>
      </w:tr>
      <w:tr>
        <w:tc>
          <w:tcPr>
            <w:tcW w:type="dxa" w:w="4680"/>
            <w:shd w:fill="FFFFFF" w:val="clear"/>
            <w:tcMar>
              <w:top w:type="dxa" w:w="100"/>
              <w:left w:type="dxa" w:w="120"/>
              <w:bottom w:type="dxa" w:w="100"/>
              <w:right w:type="dxa" w:w="120"/>
            </w:tcMar>
            <w:vAlign w:val="center"/>
          </w:tcPr>
          <w:p>
            <w:pPr>
              <w:spacing w:after="0" w:line="276"/>
              <w:jc w:val="left"/>
            </w:pPr>
            <w:r>
              <w:rPr>
                <w:rFonts w:ascii="Calibri" w:cs="Calibri" w:eastAsia="Calibri" w:hAnsi="Calibri"/>
                <w:sz w:val="22"/>
                <w:szCs w:val="22"/>
              </w:rPr>
              <w:t xml:space="preserve">v2's v1→v2 table implied v1 assumed all OTFS computation happened in-vehicle — but v1's own documentation already placed sensing computation at the roadside unit.</w:t>
            </w:r>
          </w:p>
        </w:tc>
        <w:tc>
          <w:tcPr>
            <w:tcW w:type="dxa" w:w="4680"/>
            <w:shd w:fill="FFFFFF" w:val="clear"/>
            <w:tcMar>
              <w:top w:type="dxa" w:w="100"/>
              <w:left w:type="dxa" w:w="120"/>
              <w:bottom w:type="dxa" w:w="100"/>
              <w:right w:type="dxa" w:w="120"/>
            </w:tcMar>
            <w:vAlign w:val="center"/>
          </w:tcPr>
          <w:p>
            <w:pPr>
              <w:spacing w:after="0" w:line="276"/>
              <w:jc w:val="left"/>
            </w:pPr>
            <w:r>
              <w:rPr>
                <w:rFonts w:ascii="Calibri" w:cs="Calibri" w:eastAsia="Calibri" w:hAnsi="Calibri"/>
                <w:sz w:val="22"/>
                <w:szCs w:val="22"/>
              </w:rPr>
              <w:t xml:space="preserve">Corrected the v1→v2 table (Section 2) to draw the accurate distinction: v1 already offloaded sensing compute to the RSU; what v1 left unaddressed was the vehicle's own communication-receive computation, which is what v2's pre-coding actually lightens.</w:t>
            </w:r>
          </w:p>
        </w:tc>
      </w:tr>
      <w:tr>
        <w:tc>
          <w:tcPr>
            <w:tcW w:type="dxa" w:w="4680"/>
            <w:shd w:fill="F2F2F2" w:val="clear"/>
            <w:tcMar>
              <w:top w:type="dxa" w:w="100"/>
              <w:left w:type="dxa" w:w="120"/>
              <w:bottom w:type="dxa" w:w="100"/>
              <w:right w:type="dxa" w:w="120"/>
            </w:tcMar>
            <w:vAlign w:val="center"/>
          </w:tcPr>
          <w:p>
            <w:pPr>
              <w:spacing w:after="0" w:line="276"/>
              <w:jc w:val="left"/>
            </w:pPr>
            <w:r>
              <w:rPr>
                <w:rFonts w:ascii="Calibri" w:cs="Calibri" w:eastAsia="Calibri" w:hAnsi="Calibri"/>
                <w:sz w:val="22"/>
                <w:szCs w:val="22"/>
              </w:rPr>
              <w:t xml:space="preserve">v2 claimed OTFS “has been proposed as a candidate waveform … in next-generation cellular standards discussions” without a citable source; the research found 3GPP's near-term ISAC work is explicitly OFDM-based.</w:t>
            </w:r>
          </w:p>
        </w:tc>
        <w:tc>
          <w:tcPr>
            <w:tcW w:type="dxa" w:w="4680"/>
            <w:shd w:fill="F2F2F2" w:val="clear"/>
            <w:tcMar>
              <w:top w:type="dxa" w:w="100"/>
              <w:left w:type="dxa" w:w="120"/>
              <w:bottom w:type="dxa" w:w="100"/>
              <w:right w:type="dxa" w:w="120"/>
            </w:tcMar>
            <w:vAlign w:val="center"/>
          </w:tcPr>
          <w:p>
            <w:pPr>
              <w:spacing w:after="0" w:line="276"/>
              <w:jc w:val="left"/>
            </w:pPr>
            <w:r>
              <w:rPr>
                <w:rFonts w:ascii="Calibri" w:cs="Calibri" w:eastAsia="Calibri" w:hAnsi="Calibri"/>
                <w:sz w:val="22"/>
                <w:szCs w:val="22"/>
              </w:rPr>
              <w:t xml:space="preserve">Rewrote Section 6 to state accurately what is standards-recognized (ISAC as an ITU-R/3GPP category) versus what is not (OTFS itself is not yet inside any standards track) — and repositioned OTFS as a complementary layer, not a standards claim.</w:t>
            </w:r>
          </w:p>
        </w:tc>
      </w:tr>
      <w:tr>
        <w:tc>
          <w:tcPr>
            <w:tcW w:type="dxa" w:w="4680"/>
            <w:shd w:fill="FFFFFF" w:val="clear"/>
            <w:tcMar>
              <w:top w:type="dxa" w:w="100"/>
              <w:left w:type="dxa" w:w="120"/>
              <w:bottom w:type="dxa" w:w="100"/>
              <w:right w:type="dxa" w:w="120"/>
            </w:tcMar>
            <w:vAlign w:val="center"/>
          </w:tcPr>
          <w:p>
            <w:pPr>
              <w:spacing w:after="0" w:line="276"/>
              <w:jc w:val="left"/>
            </w:pPr>
            <w:r>
              <w:rPr>
                <w:rFonts w:ascii="Calibri" w:cs="Calibri" w:eastAsia="Calibri" w:hAnsi="Calibri"/>
                <w:sz w:val="22"/>
                <w:szCs w:val="22"/>
              </w:rPr>
              <w:t xml:space="preserve">Neither version addresses that the 32×32 grid at 15 kHz implies ~300 m range bins — unusable at real intersection distances — or that the Doppler-robustness claim has not yet been validated off the exact grid points it was demonstrated on.</w:t>
            </w:r>
          </w:p>
        </w:tc>
        <w:tc>
          <w:tcPr>
            <w:tcW w:type="dxa" w:w="4680"/>
            <w:shd w:fill="FFFFFF" w:val="clear"/>
            <w:tcMar>
              <w:top w:type="dxa" w:w="100"/>
              <w:left w:type="dxa" w:w="120"/>
              <w:bottom w:type="dxa" w:w="100"/>
              <w:right w:type="dxa" w:w="120"/>
            </w:tcMar>
            <w:vAlign w:val="center"/>
          </w:tcPr>
          <w:p>
            <w:pPr>
              <w:spacing w:after="0" w:line="276"/>
              <w:jc w:val="left"/>
            </w:pPr>
            <w:r>
              <w:rPr>
                <w:rFonts w:ascii="Calibri" w:cs="Calibri" w:eastAsia="Calibri" w:hAnsi="Calibri"/>
                <w:sz w:val="22"/>
                <w:szCs w:val="22"/>
              </w:rPr>
              <w:t xml:space="preserve">Added a validation roadmap (Section 6.1): a measured BER-vs-SNR curve targeting the literature benchmark of ~13 dB at 10⁻³, a fractional (off-grid) delay-Doppler test, and the bandwidth increase a real deployment needs for usable range resolution.</w:t>
            </w:r>
          </w:p>
        </w:tc>
      </w:tr>
      <w:tr>
        <w:tc>
          <w:tcPr>
            <w:tcW w:type="dxa" w:w="4680"/>
            <w:shd w:fill="F2F2F2" w:val="clear"/>
            <w:tcMar>
              <w:top w:type="dxa" w:w="100"/>
              <w:left w:type="dxa" w:w="120"/>
              <w:bottom w:type="dxa" w:w="100"/>
              <w:right w:type="dxa" w:w="120"/>
            </w:tcMar>
            <w:vAlign w:val="center"/>
          </w:tcPr>
          <w:p>
            <w:pPr>
              <w:spacing w:after="0" w:line="276"/>
              <w:jc w:val="left"/>
            </w:pPr>
            <w:r>
              <w:rPr>
                <w:rFonts w:ascii="Calibri" w:cs="Calibri" w:eastAsia="Calibri" w:hAnsi="Calibri"/>
                <w:sz w:val="22"/>
                <w:szCs w:val="22"/>
              </w:rPr>
              <w:t xml:space="preserve">The roadmap flagged “why not just add a conventional radar unit” as a question to prepare for, without actually preparing the numbers.</w:t>
            </w:r>
          </w:p>
        </w:tc>
        <w:tc>
          <w:tcPr>
            <w:tcW w:type="dxa" w:w="4680"/>
            <w:shd w:fill="F2F2F2" w:val="clear"/>
            <w:tcMar>
              <w:top w:type="dxa" w:w="100"/>
              <w:left w:type="dxa" w:w="120"/>
              <w:bottom w:type="dxa" w:w="100"/>
              <w:right w:type="dxa" w:w="120"/>
            </w:tcMar>
            <w:vAlign w:val="center"/>
          </w:tcPr>
          <w:p>
            <w:pPr>
              <w:spacing w:after="0" w:line="276"/>
              <w:jc w:val="left"/>
            </w:pPr>
            <w:r>
              <w:rPr>
                <w:rFonts w:ascii="Calibri" w:cs="Calibri" w:eastAsia="Calibri" w:hAnsi="Calibri"/>
                <w:sz w:val="22"/>
                <w:szCs w:val="22"/>
              </w:rPr>
              <w:t xml:space="preserve">Added a cost-parity comparison (Section 6.2), grounded in the USDOT pooled-fund benchmark for conventional intersection collision-warning systems ($9,000–$142,500 per intersection installed) — while being explicit that SENTRY's own installed cost is not yet quantified.</w:t>
            </w:r>
          </w:p>
        </w:tc>
      </w:tr>
      <w:tr>
        <w:tc>
          <w:tcPr>
            <w:tcW w:type="dxa" w:w="4680"/>
            <w:shd w:fill="FFFFFF" w:val="clear"/>
            <w:tcMar>
              <w:top w:type="dxa" w:w="100"/>
              <w:left w:type="dxa" w:w="120"/>
              <w:bottom w:type="dxa" w:w="100"/>
              <w:right w:type="dxa" w:w="120"/>
            </w:tcMar>
            <w:vAlign w:val="center"/>
          </w:tcPr>
          <w:p>
            <w:pPr>
              <w:spacing w:after="0" w:line="276"/>
              <w:jc w:val="left"/>
            </w:pPr>
            <w:r>
              <w:rPr>
                <w:rFonts w:ascii="Calibri" w:cs="Calibri" w:eastAsia="Calibri" w:hAnsi="Calibri"/>
                <w:sz w:val="22"/>
                <w:szCs w:val="22"/>
              </w:rPr>
              <w:t xml:space="preserve">The roadmap proposed filing a provisional patent without first checking a densely populated RIS+OTFS-ISAC patent landscape.</w:t>
            </w:r>
          </w:p>
        </w:tc>
        <w:tc>
          <w:tcPr>
            <w:tcW w:type="dxa" w:w="4680"/>
            <w:shd w:fill="FFFFFF" w:val="clear"/>
            <w:tcMar>
              <w:top w:type="dxa" w:w="100"/>
              <w:left w:type="dxa" w:w="120"/>
              <w:bottom w:type="dxa" w:w="100"/>
              <w:right w:type="dxa" w:w="120"/>
            </w:tcMar>
            <w:vAlign w:val="center"/>
          </w:tcPr>
          <w:p>
            <w:pPr>
              <w:spacing w:after="0" w:line="276"/>
              <w:jc w:val="left"/>
            </w:pPr>
            <w:r>
              <w:rPr>
                <w:rFonts w:ascii="Calibri" w:cs="Calibri" w:eastAsia="Calibri" w:hAnsi="Calibri"/>
                <w:sz w:val="22"/>
                <w:szCs w:val="22"/>
              </w:rPr>
              <w:t xml:space="preserve">Reordered Section 8.2: a formal, CPC-classified freedom-to-operate search now precedes any filing, not follows it.</w:t>
            </w:r>
          </w:p>
        </w:tc>
      </w:tr>
    </w:tbl>
    <w:p>
      <w:pPr>
        <w:pStyle w:val="Heading1"/>
        <w:pBdr>
          <w:bottom w:val="single" w:color="2E74B5" w:sz="6" w:space="4"/>
        </w:pBdr>
        <w:spacing w:after="180" w:before="380"/>
      </w:pPr>
      <w:r>
        <w:rPr>
          <w:rFonts w:ascii="Calibri" w:cs="Calibri" w:eastAsia="Calibri" w:hAnsi="Calibri"/>
          <w:b/>
          <w:bCs/>
          <w:color w:val="1F3864"/>
          <w:sz w:val="27"/>
          <w:szCs w:val="27"/>
        </w:rPr>
        <w:t xml:space="preserve">3. How Each Real-World Drawback Has Been Addressed</w:t>
      </w:r>
    </w:p>
    <w:tbl>
      <w:tblPr>
        <w:tblW w:type="dxa" w:w="9360"/>
        <w:tblBorders>
          <w:top w:val="single" w:color="BFBFBF" w:sz="4"/>
          <w:left w:val="single" w:color="BFBFBF" w:sz="4"/>
          <w:bottom w:val="single" w:color="BFBFBF" w:sz="4"/>
          <w:right w:val="single" w:color="BFBFBF" w:sz="4"/>
          <w:insideH w:val="single" w:color="D9D9D9" w:sz="4"/>
          <w:insideV w:val="single" w:color="D9D9D9" w:sz="4"/>
        </w:tblBorders>
      </w:tblPr>
      <w:tblGrid>
        <w:gridCol w:w="2400"/>
        <w:gridCol w:w="3480"/>
        <w:gridCol w:w="3480"/>
      </w:tblGrid>
      <w:tr>
        <w:trPr>
          <w:tblHeader/>
        </w:trPr>
        <w:tc>
          <w:tcPr>
            <w:tcW w:type="dxa" w:w="2400"/>
            <w:shd w:fill="1F3864"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Real-world drawback</w:t>
            </w:r>
          </w:p>
        </w:tc>
        <w:tc>
          <w:tcPr>
            <w:tcW w:type="dxa" w:w="3480"/>
            <w:shd w:fill="1F3864"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Why it matters</w:t>
            </w:r>
          </w:p>
        </w:tc>
        <w:tc>
          <w:tcPr>
            <w:tcW w:type="dxa" w:w="3480"/>
            <w:shd w:fill="1F3864"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How SENTRY v2/v3 addresses it</w:t>
            </w:r>
          </w:p>
        </w:tc>
      </w:tr>
      <w:tr>
        <w:tc>
          <w:tcPr>
            <w:tcW w:type="dxa" w:w="2400"/>
            <w:shd w:fill="FFFFFF" w:val="clear"/>
            <w:tcMar>
              <w:top w:type="dxa" w:w="100"/>
              <w:left w:type="dxa" w:w="120"/>
              <w:bottom w:type="dxa" w:w="100"/>
              <w:right w:type="dxa" w:w="120"/>
            </w:tcMar>
            <w:vAlign w:val="center"/>
          </w:tcPr>
          <w:p>
            <w:pPr>
              <w:spacing w:after="0" w:line="276"/>
              <w:jc w:val="left"/>
            </w:pPr>
            <w:r>
              <w:rPr>
                <w:rFonts w:ascii="Calibri" w:cs="Calibri" w:eastAsia="Calibri" w:hAnsi="Calibri"/>
                <w:sz w:val="22"/>
                <w:szCs w:val="22"/>
              </w:rPr>
              <w:t xml:space="preserve">Ideal RIS physics breaking down in the field</w:t>
            </w:r>
          </w:p>
        </w:tc>
        <w:tc>
          <w:tcPr>
            <w:tcW w:type="dxa" w:w="3480"/>
            <w:shd w:fill="FFFFFF" w:val="clear"/>
            <w:tcMar>
              <w:top w:type="dxa" w:w="100"/>
              <w:left w:type="dxa" w:w="120"/>
              <w:bottom w:type="dxa" w:w="100"/>
              <w:right w:type="dxa" w:w="120"/>
            </w:tcMar>
            <w:vAlign w:val="center"/>
          </w:tcPr>
          <w:p>
            <w:pPr>
              <w:spacing w:after="0" w:line="276"/>
              <w:jc w:val="left"/>
            </w:pPr>
            <w:r>
              <w:rPr>
                <w:rFonts w:ascii="Calibri" w:cs="Calibri" w:eastAsia="Calibri" w:hAnsi="Calibri"/>
                <w:sz w:val="22"/>
                <w:szCs w:val="22"/>
              </w:rPr>
              <w:t xml:space="preserve">Weather, hardware quantization, and signal loss all reduce a passive reflector's performance below its theoretical best</w:t>
            </w:r>
          </w:p>
        </w:tc>
        <w:tc>
          <w:tcPr>
            <w:tcW w:type="dxa" w:w="3480"/>
            <w:shd w:fill="FFFFFF" w:val="clear"/>
            <w:tcMar>
              <w:top w:type="dxa" w:w="100"/>
              <w:left w:type="dxa" w:w="120"/>
              <w:bottom w:type="dxa" w:w="100"/>
              <w:right w:type="dxa" w:w="120"/>
            </w:tcMar>
            <w:vAlign w:val="center"/>
          </w:tcPr>
          <w:p>
            <w:pPr>
              <w:spacing w:after="0" w:line="276"/>
              <w:jc w:val="left"/>
            </w:pPr>
            <w:r>
              <w:rPr>
                <w:rFonts w:ascii="Calibri" w:cs="Calibri" w:eastAsia="Calibri" w:hAnsi="Calibri"/>
                <w:sz w:val="22"/>
                <w:szCs w:val="22"/>
              </w:rPr>
              <w:t xml:space="preserve">Active-Reflection RIS: mostly passive, with adaptive low-power assistance only when link quality actually degrades</w:t>
            </w:r>
          </w:p>
        </w:tc>
      </w:tr>
      <w:tr>
        <w:tc>
          <w:tcPr>
            <w:tcW w:type="dxa" w:w="2400"/>
            <w:shd w:fill="F2F2F2" w:val="clear"/>
            <w:tcMar>
              <w:top w:type="dxa" w:w="100"/>
              <w:left w:type="dxa" w:w="120"/>
              <w:bottom w:type="dxa" w:w="100"/>
              <w:right w:type="dxa" w:w="120"/>
            </w:tcMar>
            <w:vAlign w:val="center"/>
          </w:tcPr>
          <w:p>
            <w:pPr>
              <w:spacing w:after="0" w:line="276"/>
              <w:jc w:val="left"/>
            </w:pPr>
            <w:r>
              <w:rPr>
                <w:rFonts w:ascii="Calibri" w:cs="Calibri" w:eastAsia="Calibri" w:hAnsi="Calibri"/>
                <w:sz w:val="22"/>
                <w:szCs w:val="22"/>
              </w:rPr>
              <w:t xml:space="preserve">Edge compute bottleneck</w:t>
            </w:r>
          </w:p>
        </w:tc>
        <w:tc>
          <w:tcPr>
            <w:tcW w:type="dxa" w:w="3480"/>
            <w:shd w:fill="F2F2F2" w:val="clear"/>
            <w:tcMar>
              <w:top w:type="dxa" w:w="100"/>
              <w:left w:type="dxa" w:w="120"/>
              <w:bottom w:type="dxa" w:w="100"/>
              <w:right w:type="dxa" w:w="120"/>
            </w:tcMar>
            <w:vAlign w:val="center"/>
          </w:tcPr>
          <w:p>
            <w:pPr>
              <w:spacing w:after="0" w:line="276"/>
              <w:jc w:val="left"/>
            </w:pPr>
            <w:r>
              <w:rPr>
                <w:rFonts w:ascii="Calibri" w:cs="Calibri" w:eastAsia="Calibri" w:hAnsi="Calibri"/>
                <w:sz w:val="22"/>
                <w:szCs w:val="22"/>
              </w:rPr>
              <w:t xml:space="preserve">Inexpensive, in-vehicle computers struggle to run the full delay-Doppler transform fast enough to be useful</w:t>
            </w:r>
          </w:p>
        </w:tc>
        <w:tc>
          <w:tcPr>
            <w:tcW w:type="dxa" w:w="3480"/>
            <w:shd w:fill="F2F2F2" w:val="clear"/>
            <w:tcMar>
              <w:top w:type="dxa" w:w="100"/>
              <w:left w:type="dxa" w:w="120"/>
              <w:bottom w:type="dxa" w:w="100"/>
              <w:right w:type="dxa" w:w="120"/>
            </w:tcMar>
            <w:vAlign w:val="center"/>
          </w:tcPr>
          <w:p>
            <w:pPr>
              <w:spacing w:after="0" w:line="276"/>
              <w:jc w:val="left"/>
            </w:pPr>
            <w:r>
              <w:rPr>
                <w:rFonts w:ascii="Calibri" w:cs="Calibri" w:eastAsia="Calibri" w:hAnsi="Calibri"/>
                <w:sz w:val="22"/>
                <w:szCs w:val="22"/>
              </w:rPr>
              <w:t xml:space="preserve">RSU-side pre-coding shifts the known, static part of the computation upstream to the roadside unit, leaving the vehicle a much lighter task</w:t>
            </w:r>
          </w:p>
        </w:tc>
      </w:tr>
      <w:tr>
        <w:tc>
          <w:tcPr>
            <w:tcW w:type="dxa" w:w="2400"/>
            <w:shd w:fill="FFFFFF" w:val="clear"/>
            <w:tcMar>
              <w:top w:type="dxa" w:w="100"/>
              <w:left w:type="dxa" w:w="120"/>
              <w:bottom w:type="dxa" w:w="100"/>
              <w:right w:type="dxa" w:w="120"/>
            </w:tcMar>
            <w:vAlign w:val="center"/>
          </w:tcPr>
          <w:p>
            <w:pPr>
              <w:spacing w:after="0" w:line="276"/>
              <w:jc w:val="left"/>
            </w:pPr>
            <w:r>
              <w:rPr>
                <w:rFonts w:ascii="Calibri" w:cs="Calibri" w:eastAsia="Calibri" w:hAnsi="Calibri"/>
                <w:sz w:val="22"/>
                <w:szCs w:val="22"/>
              </w:rPr>
              <w:t xml:space="preserve">The “toy channel” trap</w:t>
            </w:r>
          </w:p>
        </w:tc>
        <w:tc>
          <w:tcPr>
            <w:tcW w:type="dxa" w:w="3480"/>
            <w:shd w:fill="FFFFFF" w:val="clear"/>
            <w:tcMar>
              <w:top w:type="dxa" w:w="100"/>
              <w:left w:type="dxa" w:w="120"/>
              <w:bottom w:type="dxa" w:w="100"/>
              <w:right w:type="dxa" w:w="120"/>
            </w:tcMar>
            <w:vAlign w:val="center"/>
          </w:tcPr>
          <w:p>
            <w:pPr>
              <w:spacing w:after="0" w:line="276"/>
              <w:jc w:val="left"/>
            </w:pPr>
            <w:r>
              <w:rPr>
                <w:rFonts w:ascii="Calibri" w:cs="Calibri" w:eastAsia="Calibri" w:hAnsi="Calibri"/>
                <w:sz w:val="22"/>
                <w:szCs w:val="22"/>
              </w:rPr>
              <w:t xml:space="preserve">A system trained or modelled only against clean, synthetic signals can be confused by ordinary urban clutter — parked cars, swaying trees, stray debris</w:t>
            </w:r>
          </w:p>
        </w:tc>
        <w:tc>
          <w:tcPr>
            <w:tcW w:type="dxa" w:w="3480"/>
            <w:shd w:fill="FFFFFF" w:val="clear"/>
            <w:tcMar>
              <w:top w:type="dxa" w:w="100"/>
              <w:left w:type="dxa" w:w="120"/>
              <w:bottom w:type="dxa" w:w="100"/>
              <w:right w:type="dxa" w:w="120"/>
            </w:tcMar>
            <w:vAlign w:val="center"/>
          </w:tcPr>
          <w:p>
            <w:pPr>
              <w:spacing w:after="0" w:line="276"/>
              <w:jc w:val="left"/>
            </w:pPr>
            <w:r>
              <w:rPr>
                <w:rFonts w:ascii="Calibri" w:cs="Calibri" w:eastAsia="Calibri" w:hAnsi="Calibri"/>
                <w:sz w:val="22"/>
                <w:szCs w:val="22"/>
              </w:rPr>
              <w:t xml:space="preserve">Zero-Doppler masking removes obviously stationary clutter cheaply; spatio-temporal AI handles the harder, ambiguous cases by reasoning over motion patterns across space and time</w:t>
            </w:r>
          </w:p>
        </w:tc>
      </w:tr>
      <w:tr>
        <w:tc>
          <w:tcPr>
            <w:tcW w:type="dxa" w:w="2400"/>
            <w:shd w:fill="F2F2F2" w:val="clear"/>
            <w:tcMar>
              <w:top w:type="dxa" w:w="100"/>
              <w:left w:type="dxa" w:w="120"/>
              <w:bottom w:type="dxa" w:w="100"/>
              <w:right w:type="dxa" w:w="120"/>
            </w:tcMar>
            <w:vAlign w:val="center"/>
          </w:tcPr>
          <w:p>
            <w:pPr>
              <w:spacing w:after="0" w:line="276"/>
              <w:jc w:val="left"/>
            </w:pPr>
            <w:r>
              <w:rPr>
                <w:rFonts w:ascii="Calibri" w:cs="Calibri" w:eastAsia="Calibri" w:hAnsi="Calibri"/>
                <w:sz w:val="22"/>
                <w:szCs w:val="22"/>
              </w:rPr>
              <w:t xml:space="preserve">Paper latency vs. real network conditions</w:t>
            </w:r>
          </w:p>
        </w:tc>
        <w:tc>
          <w:tcPr>
            <w:tcW w:type="dxa" w:w="3480"/>
            <w:shd w:fill="F2F2F2" w:val="clear"/>
            <w:tcMar>
              <w:top w:type="dxa" w:w="100"/>
              <w:left w:type="dxa" w:w="120"/>
              <w:bottom w:type="dxa" w:w="100"/>
              <w:right w:type="dxa" w:w="120"/>
            </w:tcMar>
            <w:vAlign w:val="center"/>
          </w:tcPr>
          <w:p>
            <w:pPr>
              <w:spacing w:after="0" w:line="276"/>
              <w:jc w:val="left"/>
            </w:pPr>
            <w:r>
              <w:rPr>
                <w:rFonts w:ascii="Calibri" w:cs="Calibri" w:eastAsia="Calibri" w:hAnsi="Calibri"/>
                <w:sz w:val="22"/>
                <w:szCs w:val="22"/>
              </w:rPr>
              <w:t xml:space="preserve">A clean analytical timing budget says nothing about what happens when a packet is dropped or delayed on a congested network</w:t>
            </w:r>
          </w:p>
        </w:tc>
        <w:tc>
          <w:tcPr>
            <w:tcW w:type="dxa" w:w="3480"/>
            <w:shd w:fill="F2F2F2" w:val="clear"/>
            <w:tcMar>
              <w:top w:type="dxa" w:w="100"/>
              <w:left w:type="dxa" w:w="120"/>
              <w:bottom w:type="dxa" w:w="100"/>
              <w:right w:type="dxa" w:w="120"/>
            </w:tcMar>
            <w:vAlign w:val="center"/>
          </w:tcPr>
          <w:p>
            <w:pPr>
              <w:spacing w:after="0" w:line="276"/>
              <w:jc w:val="left"/>
            </w:pPr>
            <w:r>
              <w:rPr>
                <w:rFonts w:ascii="Calibri" w:cs="Calibri" w:eastAsia="Calibri" w:hAnsi="Calibri"/>
                <w:sz w:val="22"/>
                <w:szCs w:val="22"/>
              </w:rPr>
              <w:t xml:space="preserve">Dual-path redundancy sends the safety alert over two independent network paths simultaneously, so the loss of one path doesn't break the alert</w:t>
            </w:r>
          </w:p>
        </w:tc>
      </w:tr>
    </w:tbl>
    <w:p>
      <w:pPr>
        <w:pStyle w:val="Heading1"/>
        <w:pBdr>
          <w:bottom w:val="single" w:color="2E74B5" w:sz="6" w:space="4"/>
        </w:pBdr>
        <w:spacing w:after="180" w:before="380"/>
      </w:pPr>
      <w:r>
        <w:rPr>
          <w:rFonts w:ascii="Calibri" w:cs="Calibri" w:eastAsia="Calibri" w:hAnsi="Calibri"/>
          <w:b/>
          <w:bCs/>
          <w:color w:val="1F3864"/>
          <w:sz w:val="27"/>
          <w:szCs w:val="27"/>
        </w:rPr>
        <w:t xml:space="preserve">4. Proposed Architecture</w:t>
      </w:r>
    </w:p>
    <w:p>
      <w:pPr>
        <w:spacing w:after="160" w:line="276"/>
        <w:jc w:val="both"/>
      </w:pPr>
      <w:r>
        <w:rPr>
          <w:rFonts w:ascii="Calibri" w:cs="Calibri" w:eastAsia="Calibri" w:hAnsi="Calibri"/>
          <w:sz w:val="22"/>
          <w:szCs w:val="22"/>
        </w:rPr>
        <w:t xml:space="preserve">The system works as one coordinated pipeline, from the moment a signal is transmitted to the moment a hazard alert results in real-world action:</w:t>
      </w:r>
    </w:p>
    <w:p>
      <w:pPr>
        <w:spacing w:after="60" w:before="120"/>
        <w:jc w:val="center"/>
      </w:pPr>
      <w:r>
        <w:drawing>
          <wp:inline distT="0" distB="0" distL="0" distR="0">
            <wp:extent cx="5943600" cy="1371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1371600"/>
                    </a:xfrm>
                    <a:prstGeom prst="rect">
                      <a:avLst/>
                    </a:prstGeom>
                  </pic:spPr>
                </pic:pic>
              </a:graphicData>
            </a:graphic>
          </wp:inline>
        </w:drawing>
      </w:r>
    </w:p>
    <w:p>
      <w:pPr>
        <w:spacing w:after="200" w:before="60"/>
        <w:jc w:val="center"/>
      </w:pPr>
      <w:r>
        <w:rPr>
          <w:rFonts w:ascii="Calibri" w:cs="Calibri" w:eastAsia="Calibri" w:hAnsi="Calibri"/>
          <w:i/>
          <w:iCs/>
          <w:color w:val="595959"/>
          <w:sz w:val="19"/>
          <w:szCs w:val="19"/>
        </w:rPr>
        <w:t xml:space="preserve">Figure 1. SENTRY v3 detection-to-action pipeline.</w:t>
      </w:r>
    </w:p>
    <w:p>
      <w:pPr>
        <w:pStyle w:val="Heading2"/>
        <w:spacing w:after="100" w:before="220"/>
      </w:pPr>
      <w:r>
        <w:rPr>
          <w:rFonts w:ascii="Calibri" w:cs="Calibri" w:eastAsia="Calibri" w:hAnsi="Calibri"/>
          <w:b/>
          <w:bCs/>
          <w:color w:val="2E74B5"/>
          <w:sz w:val="23"/>
          <w:szCs w:val="23"/>
        </w:rPr>
        <w:t xml:space="preserve">4.1 What happens at each stage</w:t>
      </w:r>
    </w:p>
    <w:p>
      <w:pPr>
        <w:spacing w:after="160" w:line="276"/>
        <w:jc w:val="both"/>
      </w:pPr>
      <w:r>
        <w:rPr>
          <w:rFonts w:ascii="Calibri" w:cs="Calibri" w:eastAsia="Calibri" w:hAnsi="Calibri"/>
          <w:b/>
          <w:bCs/>
          <w:sz w:val="22"/>
          <w:szCs w:val="22"/>
        </w:rPr>
        <w:t xml:space="preserve">Roadside Unit.</w:t>
      </w:r>
      <w:r>
        <w:rPr>
          <w:rFonts w:ascii="Calibri" w:cs="Calibri" w:eastAsia="Calibri" w:hAnsi="Calibri"/>
          <w:sz w:val="22"/>
          <w:szCs w:val="22"/>
          <w:highlight w:val="yellow"/>
          <w:highlightCs w:val="yellow"/>
        </w:rPr>
        <w:t xml:space="preserve"> Transmits a single signal that is pre-coded to already account for the known, fixed geometry of the intersection and the reflector, easing the burden on everything downstream.</w:t>
      </w:r>
    </w:p>
    <w:p>
      <w:pPr>
        <w:spacing w:after="160" w:line="276"/>
        <w:jc w:val="both"/>
      </w:pPr>
      <w:r>
        <w:rPr>
          <w:rFonts w:ascii="Calibri" w:cs="Calibri" w:eastAsia="Calibri" w:hAnsi="Calibri"/>
          <w:b/>
          <w:bCs/>
          <w:sz w:val="22"/>
          <w:szCs w:val="22"/>
        </w:rPr>
        <w:t xml:space="preserve">Active-Reflection RIS.</w:t>
      </w:r>
      <w:r>
        <w:rPr>
          <w:rFonts w:ascii="Calibri" w:cs="Calibri" w:eastAsia="Calibri" w:hAnsi="Calibri"/>
          <w:sz w:val="22"/>
          <w:szCs w:val="22"/>
          <w:highlight w:val="yellow"/>
          <w:highlightCs w:val="yellow"/>
        </w:rPr>
        <w:t xml:space="preserve"> A large passive panel redirects the signal around the obstruction under normal conditions, with a low-power boost that only switches on when weather, angle, or hardware limitations would otherwise degrade the link.</w:t>
      </w:r>
    </w:p>
    <w:p>
      <w:pPr>
        <w:spacing w:after="160" w:line="276"/>
        <w:jc w:val="both"/>
      </w:pPr>
      <w:r>
        <w:rPr>
          <w:rFonts w:ascii="Calibri" w:cs="Calibri" w:eastAsia="Calibri" w:hAnsi="Calibri"/>
          <w:b/>
          <w:bCs/>
          <w:sz w:val="22"/>
          <w:szCs w:val="22"/>
        </w:rPr>
        <w:t xml:space="preserve">Vehicle-Side Sensing.</w:t>
      </w:r>
      <w:r>
        <w:rPr>
          <w:rFonts w:ascii="Calibri" w:cs="Calibri" w:eastAsia="Calibri" w:hAnsi="Calibri"/>
          <w:sz w:val="22"/>
          <w:szCs w:val="22"/>
          <w:highlight w:val="yellow"/>
          <w:highlightCs w:val="yellow"/>
        </w:rPr>
        <w:t xml:space="preserve"> The reflected signal doubles as a radar return. Zero-Doppler masking strips out obviously stationary background clutter cheaply, while a spatio-temporal AI model interprets the more ambiguous, slow-moving clutter that a simple filter would miss.</w:t>
      </w:r>
    </w:p>
    <w:p>
      <w:pPr>
        <w:spacing w:after="160" w:line="276"/>
        <w:jc w:val="both"/>
      </w:pPr>
      <w:r>
        <w:rPr>
          <w:rFonts w:ascii="Calibri" w:cs="Calibri" w:eastAsia="Calibri" w:hAnsi="Calibri"/>
          <w:b/>
          <w:bCs/>
          <w:sz w:val="22"/>
          <w:szCs w:val="22"/>
        </w:rPr>
        <w:t xml:space="preserve">Edge Risk Engine.</w:t>
      </w:r>
      <w:r>
        <w:rPr>
          <w:rFonts w:ascii="Calibri" w:cs="Calibri" w:eastAsia="Calibri" w:hAnsi="Calibri"/>
          <w:sz w:val="22"/>
          <w:szCs w:val="22"/>
        </w:rPr>
        <w:t xml:space="preserve"> Classifies what has been detected — vehicle, pedestrian, two-wheeler, static obstacle — and scores how urgent the situation is.</w:t>
      </w:r>
    </w:p>
    <w:p>
      <w:pPr>
        <w:spacing w:after="160" w:line="276"/>
        <w:jc w:val="both"/>
      </w:pPr>
      <w:r>
        <w:rPr>
          <w:rFonts w:ascii="Calibri" w:cs="Calibri" w:eastAsia="Calibri" w:hAnsi="Calibri"/>
          <w:b/>
          <w:bCs/>
          <w:sz w:val="22"/>
          <w:szCs w:val="22"/>
        </w:rPr>
        <w:t xml:space="preserve">Dual-Path Broadcast.</w:t>
      </w:r>
      <w:r>
        <w:rPr>
          <w:rFonts w:ascii="Calibri" w:cs="Calibri" w:eastAsia="Calibri" w:hAnsi="Calibri"/>
          <w:sz w:val="22"/>
          <w:szCs w:val="22"/>
          <w:highlight w:val="yellow"/>
          <w:highlightCs w:val="yellow"/>
        </w:rPr>
        <w:t xml:space="preserve"> The resulting alert is sent redundantly over two independent network paths at once, so that congestion or a dropped packet on one path does not silently break the warning.</w:t>
      </w:r>
    </w:p>
    <w:p>
      <w:pPr>
        <w:spacing w:after="160" w:line="276"/>
        <w:jc w:val="both"/>
      </w:pPr>
      <w:r>
        <w:rPr>
          <w:rFonts w:ascii="Calibri" w:cs="Calibri" w:eastAsia="Calibri" w:hAnsi="Calibri"/>
          <w:b/>
          <w:bCs/>
          <w:sz w:val="22"/>
          <w:szCs w:val="22"/>
        </w:rPr>
        <w:t xml:space="preserve">Action Taken.</w:t>
      </w:r>
      <w:r>
        <w:rPr>
          <w:rFonts w:ascii="Calibri" w:cs="Calibri" w:eastAsia="Calibri" w:hAnsi="Calibri"/>
          <w:sz w:val="22"/>
          <w:szCs w:val="22"/>
        </w:rPr>
        <w:t xml:space="preserve"> The alert reaches the vehicle, a nearby pedestrian's device, or roadside infrastructure in a form that can actually be acted on — a dashboard warning, an automatic braking trigger, or a passive roadside sign if the digital link fails entirely.</w:t>
      </w:r>
    </w:p>
    <w:p>
      <w:pPr>
        <w:pStyle w:val="Heading1"/>
        <w:pBdr>
          <w:bottom w:val="single" w:color="2E74B5" w:sz="6" w:space="4"/>
        </w:pBdr>
        <w:spacing w:after="180" w:before="380"/>
      </w:pPr>
      <w:r>
        <w:rPr>
          <w:rFonts w:ascii="Calibri" w:cs="Calibri" w:eastAsia="Calibri" w:hAnsi="Calibri"/>
          <w:b/>
          <w:bCs/>
          <w:color w:val="1F3864"/>
          <w:sz w:val="27"/>
          <w:szCs w:val="27"/>
        </w:rPr>
        <w:t xml:space="preserve">5. Why This Is Innovative</w:t>
      </w:r>
    </w:p>
    <w:p>
      <w:pPr>
        <w:spacing w:after="160" w:line="276"/>
        <w:jc w:val="both"/>
      </w:pPr>
      <w:r>
        <w:rPr>
          <w:rFonts w:ascii="Calibri" w:cs="Calibri" w:eastAsia="Calibri" w:hAnsi="Calibri"/>
          <w:sz w:val="22"/>
          <w:szCs w:val="22"/>
        </w:rPr>
        <w:t xml:space="preserve">The innovation is architectural rather than incremental. Instead of adding a second, fully independent sensing system to solve occlusion, SENTRY reuses the same signal for both sensing and communication, and reuses a passive, largely unpowered reflector instead of a second active installation. That combination is what keeps the cost and complexity of covering many blind corners across a city from multiplying the way conventional fixes do.</w:t>
      </w:r>
    </w:p>
    <w:p>
      <w:pPr>
        <w:spacing w:after="160" w:line="276"/>
        <w:jc w:val="both"/>
      </w:pPr>
      <w:r>
        <w:rPr>
          <w:rFonts w:ascii="Calibri" w:cs="Calibri" w:eastAsia="Calibri" w:hAnsi="Calibri"/>
          <w:sz w:val="22"/>
          <w:szCs w:val="22"/>
        </w:rPr>
        <w:t xml:space="preserve">The version-two hardening reinforces this rather than complicating it: each addition is a direct, precedented answer to a specific way the original idealized version could fail in the real world, rather than an unrelated new feature bolted on for its own sake. That discipline — fixing exactly the gaps the team itself identified, and no more — is itself part of the innovation story: it shows a design that improves by re-examining its own assumptions rather than by accumulating features.</w:t>
      </w:r>
    </w:p>
    <w:p>
      <w:pPr>
        <w:spacing w:after="160" w:line="276"/>
        <w:jc w:val="both"/>
      </w:pPr>
      <w:r>
        <w:rPr>
          <w:rFonts w:ascii="Calibri" w:cs="Calibri" w:eastAsia="Calibri" w:hAnsi="Calibri"/>
          <w:sz w:val="22"/>
          <w:szCs w:val="22"/>
        </w:rPr>
        <w:t xml:space="preserve">It is also innovative in what it deliberately avoids solving with brute force. Rather than demanding a more powerful (and more expensive) onboard computer to handle the underlying signal mathematics, the system rethinks where that computation should happen at all — upstream, at the roadside unit, where power and processing headroom are cheap, rather than downstream, in the vehicle, where they are not.</w:t>
      </w:r>
    </w:p>
    <w:p>
      <w:pPr>
        <w:spacing w:after="160" w:line="276"/>
        <w:jc w:val="both"/>
      </w:pPr>
      <w:r>
        <w:rPr>
          <w:rFonts w:ascii="Calibri" w:cs="Calibri" w:eastAsia="Calibri" w:hAnsi="Calibri"/>
          <w:sz w:val="22"/>
          <w:szCs w:val="22"/>
          <w:highlight w:val="yellow"/>
          <w:highlightCs w:val="yellow"/>
        </w:rPr>
        <w:t xml:space="preserve">This round extends that same discipline from the engineering to the evidence behind it: every claim in this document is now either sourced, explicitly scoped as unvalidated, or removed.</w:t>
      </w:r>
    </w:p>
    <w:p>
      <w:pPr>
        <w:pStyle w:val="Heading1"/>
        <w:pBdr>
          <w:bottom w:val="single" w:color="2E74B5" w:sz="6" w:space="4"/>
        </w:pBdr>
        <w:spacing w:after="180" w:before="380"/>
      </w:pPr>
      <w:r>
        <w:rPr>
          <w:rFonts w:ascii="Calibri" w:cs="Calibri" w:eastAsia="Calibri" w:hAnsi="Calibri"/>
          <w:b/>
          <w:bCs/>
          <w:color w:val="1F3864"/>
          <w:sz w:val="27"/>
          <w:szCs w:val="27"/>
        </w:rPr>
        <w:t xml:space="preserve">6. Is Building an OTFS-Based System Actually Possible?</w:t>
      </w:r>
    </w:p>
    <w:p>
      <w:pPr>
        <w:spacing w:after="160" w:line="276"/>
        <w:jc w:val="both"/>
      </w:pPr>
      <w:r>
        <w:rPr>
          <w:rFonts w:ascii="Calibri" w:cs="Calibri" w:eastAsia="Calibri" w:hAnsi="Calibri"/>
          <w:sz w:val="22"/>
          <w:szCs w:val="22"/>
          <w:highlight w:val="yellow"/>
          <w:highlightCs w:val="yellow"/>
        </w:rPr>
        <w:t xml:space="preserve">Yes, in the sense that matters for this project: OTFS is not a purely theoretical construct invented for this pitch. It is an established modulation technique that has already been implemented and tested on programmable radio hardware in academic and industry research settings, and the mathematical transforms it relies on are well understood and already used elsewhere in signal processing. </w:t>
      </w:r>
      <w:r>
        <w:rPr>
          <w:rFonts w:ascii="Calibri" w:cs="Calibri" w:eastAsia="Calibri" w:hAnsi="Calibri"/>
          <w:sz w:val="22"/>
          <w:szCs w:val="22"/>
          <w:highlight w:val="yellow"/>
          <w:highlightCs w:val="yellow"/>
        </w:rPr>
        <w:t xml:space="preserve">What is standards-recognized today is the broader category SENTRY belongs to, not the waveform itself: Integrated Sensing and Communication (ISAC) is one of six official 6G usage scenarios under ITU-R Recommendation M.2160, and has been confirmed as a dedicated 3GPP Release 21 theme. Near-term 3GPP and O-RAN sensing work, however, is built on the existing OFDM waveform, not OTFS specifically — OTFS itself remains established in academic literature and SDR testbeds, not inside a standards track. SENTRY is positioned accordingly: as a Doppler-robust sensing enhancement layer for the specific high-mobility roadside case, operating alongside the standard OFDM-based link a vehicle already uses — not as a claim that OTFS itself is currently on a standards track.</w:t>
      </w:r>
    </w:p>
    <w:p>
      <w:pPr>
        <w:spacing w:after="160" w:line="276"/>
        <w:jc w:val="both"/>
      </w:pPr>
      <w:r>
        <w:rPr>
          <w:rFonts w:ascii="Calibri" w:cs="Calibri" w:eastAsia="Calibri" w:hAnsi="Calibri"/>
          <w:sz w:val="22"/>
          <w:szCs w:val="22"/>
        </w:rPr>
        <w:t xml:space="preserve">What has not yet been done, and what the next phase of this project needs to prove, is building and testing SENTRY's specific combination — OTFS, paired with a passive reflective panel, feeding an edge AI risk engine — on real hardware rather than in simulation. That is a substantial engineering effort, but it is an implementation effort, not a question of whether the underlying physics works. The realistic path is to start with widely available software-defined radio hardware, validate the waveform and the reflector's real-world behaviour in a controlled setting, and only then move to a real intersection.</w:t>
      </w:r>
    </w:p>
    <w:p>
      <w:pPr>
        <w:pStyle w:val="Heading2"/>
        <w:spacing w:after="100" w:before="220"/>
      </w:pPr>
      <w:r>
        <w:rPr>
          <w:rFonts w:ascii="Calibri" w:cs="Calibri" w:eastAsia="Calibri" w:hAnsi="Calibri"/>
          <w:b/>
          <w:bCs/>
          <w:color w:val="2E74B5"/>
          <w:sz w:val="23"/>
          <w:szCs w:val="23"/>
        </w:rPr>
        <w:t xml:space="preserve">6.1 Validation Roadmap: Range Resolution and Bit-Error Rate</w:t>
      </w:r>
    </w:p>
    <w:p>
      <w:pPr>
        <w:spacing w:after="160" w:line="276"/>
        <w:jc w:val="both"/>
      </w:pPr>
      <w:r>
        <w:rPr>
          <w:rFonts w:ascii="Calibri" w:cs="Calibri" w:eastAsia="Calibri" w:hAnsi="Calibri"/>
          <w:sz w:val="22"/>
          <w:szCs w:val="22"/>
          <w:highlight w:val="yellow"/>
          <w:highlightCs w:val="yellow"/>
        </w:rPr>
        <w:t xml:space="preserve">Two specific gaps remain open in the current simulations, and this document names them rather than leaving them implicit. First, the working delay-Doppler grid (32×32 bins at 15 kHz subcarrier spacing) implies a range resolution on the order of 300 metres per bin — far too coarse to distinguish a pedestrian at 15 metres from one at 25 metres at a real intersection. Closing this gap needs substantially wider bandwidth (hundreds of MHz to roughly 2 GHz, in line with published automotive-radar and software-defined-radio results achieving sub-metre resolution), not a change to the waveform itself. Second, the OTFS-vs-OFDM demonstration to date places its two synthetic reflectors on exact grid points; comparable published work reports OTFS reaching a bit-error rate of roughly 10⁻³ at approximately 13 dB SNR under realistic multipath and Doppler conditions, and that is the benchmark the next simulation phase is built to hit — using a multi-tap Rayleigh channel, an LMMSE or message-passing equalizer, and reflectors placed at fractional, off-grid delay-Doppler positions, which is the case a real, arbitrarily-positioned pedestrian or vehicle actually presents.</w:t>
      </w:r>
    </w:p>
    <w:p>
      <w:pPr>
        <w:pStyle w:val="Heading2"/>
        <w:spacing w:after="100" w:before="220"/>
      </w:pPr>
      <w:r>
        <w:rPr>
          <w:rFonts w:ascii="Calibri" w:cs="Calibri" w:eastAsia="Calibri" w:hAnsi="Calibri"/>
          <w:b/>
          <w:bCs/>
          <w:color w:val="2E74B5"/>
          <w:sz w:val="23"/>
          <w:szCs w:val="23"/>
        </w:rPr>
        <w:t xml:space="preserve">6.2 Cost-Parity Defense: Why Not Just Add a Conventional Radar Unit</w:t>
      </w:r>
    </w:p>
    <w:p>
      <w:pPr>
        <w:spacing w:after="160" w:line="276"/>
        <w:jc w:val="both"/>
      </w:pPr>
      <w:r>
        <w:rPr>
          <w:rFonts w:ascii="Calibri" w:cs="Calibri" w:eastAsia="Calibri" w:hAnsi="Calibri"/>
          <w:sz w:val="22"/>
          <w:szCs w:val="22"/>
          <w:highlight w:val="yellow"/>
          <w:highlightCs w:val="yellow"/>
        </w:rPr>
        <w:t xml:space="preserve">This is the most likely first question a specialist raises, and it deserves a prepared answer rather than one worked out live. Published benchmarking of conventional intersection collision-warning systems — radar, induction loops, and camera-based detection — puts installed cost at roughly $9,000 to $142,500 per intersection, plus an estimated $2,000–$3,000 per year in ongoing operations and maintenance; each such installation carries its own dedicated power supply, its own RF or sensing front end, and its own maintenance contract. SENTRY's structural argument is that the RIS panel is passive and draws negligible incremental power, and that the sensing function rides on the roadside unit's existing communication radio rather than requiring a second, independently powered RF chain and a second maintenance line — the same cost-multiplication problem named in Section 1. This is, honestly, a structural argument rather than a verified bill of materials: SENTRY's own installed per-intersection cost has not yet been quantified, and producing that number — RIS panel fabrication, roadside unit hardware, installation labour, and ongoing power draw, benchmarked directly against the conventional range above — is a named next step, not a claim made here.</w:t>
      </w:r>
    </w:p>
    <w:p>
      <w:pPr>
        <w:pStyle w:val="Heading2"/>
        <w:spacing w:after="100" w:before="220"/>
      </w:pPr>
      <w:r>
        <w:rPr>
          <w:rFonts w:ascii="Calibri" w:cs="Calibri" w:eastAsia="Calibri" w:hAnsi="Calibri"/>
          <w:b/>
          <w:bCs/>
          <w:color w:val="2E74B5"/>
          <w:sz w:val="23"/>
          <w:szCs w:val="23"/>
        </w:rPr>
        <w:t xml:space="preserve">6.3 Active vs. passive vs. hybrid RIS: the trade-off, with real numbers</w:t>
      </w:r>
    </w:p>
    <w:p>
      <w:pPr>
        <w:spacing w:after="160" w:line="276"/>
        <w:jc w:val="both"/>
      </w:pPr>
      <w:r>
        <w:rPr>
          <w:rFonts w:ascii="Calibri" w:cs="Calibri" w:eastAsia="Calibri" w:hAnsi="Calibri"/>
          <w:sz w:val="22"/>
          <w:szCs w:val="22"/>
          <w:highlight w:val="yellow"/>
          <w:highlightCs w:val="yellow"/>
        </w:rPr>
        <w:t xml:space="preserve">This design choice deserves its own justification rather than a one-line description, since it sits directly underneath SENTRY's central cost argument. </w:t>
      </w:r>
      <w:r>
        <w:rPr>
          <w:rFonts w:ascii="Calibri" w:cs="Calibri" w:eastAsia="Calibri" w:hAnsi="Calibri"/>
          <w:sz w:val="22"/>
          <w:szCs w:val="22"/>
          <w:highlight w:val="yellow"/>
          <w:highlightCs w:val="yellow"/>
        </w:rPr>
        <w:t xml:space="preserve">A purely passive RIS suffers what the literature calls </w:t>
      </w:r>
      <w:r>
        <w:rPr>
          <w:rFonts w:ascii="Calibri" w:cs="Calibri" w:eastAsia="Calibri" w:hAnsi="Calibri"/>
          <w:i/>
          <w:iCs/>
          <w:sz w:val="22"/>
          <w:szCs w:val="22"/>
          <w:highlight w:val="yellow"/>
          <w:highlightCs w:val="yellow"/>
        </w:rPr>
        <w:t xml:space="preserve">multiplicative</w:t>
      </w:r>
      <w:r>
        <w:rPr>
          <w:rFonts w:ascii="Calibri" w:cs="Calibri" w:eastAsia="Calibri" w:hAnsi="Calibri"/>
          <w:sz w:val="22"/>
          <w:szCs w:val="22"/>
          <w:highlight w:val="yellow"/>
          <w:highlightCs w:val="yellow"/>
        </w:rPr>
        <w:t xml:space="preserve"> path loss: because the signal crosses the roadside-unit-to-RIS and RIS-to-target legs unamplified, the loss compounds across both hops rather than adding like an ordinary relay. A purely active RIS fixes this directly — one published comparison found active RIS delivering roughly 40 dB better SNR than passive RIS at the same test geometry, converting that multiplicative loss into ordinary additive loss plus a real amplification gain on top.</w:t>
      </w:r>
    </w:p>
    <w:p>
      <w:pPr>
        <w:spacing w:after="160" w:line="276"/>
        <w:jc w:val="both"/>
      </w:pPr>
      <w:r>
        <w:rPr>
          <w:rFonts w:ascii="Calibri" w:cs="Calibri" w:eastAsia="Calibri" w:hAnsi="Calibri"/>
          <w:sz w:val="22"/>
          <w:szCs w:val="22"/>
          <w:highlight w:val="yellow"/>
          <w:highlightCs w:val="yellow"/>
        </w:rPr>
        <w:t xml:space="preserve">The reason SENTRY does not simply go fully active is a direct finding from the literature, not a stylistic preference: Zhi et al. (IEEE Communications Letters, 2022) compared active and passive RIS under a </w:t>
      </w:r>
      <w:r>
        <w:rPr>
          <w:rFonts w:ascii="Calibri" w:cs="Calibri" w:eastAsia="Calibri" w:hAnsi="Calibri"/>
          <w:i/>
          <w:iCs/>
          <w:sz w:val="22"/>
          <w:szCs w:val="22"/>
          <w:highlight w:val="yellow"/>
          <w:highlightCs w:val="yellow"/>
        </w:rPr>
        <w:t xml:space="preserve">fixed total power budget</w:t>
      </w:r>
      <w:r>
        <w:rPr>
          <w:rFonts w:ascii="Calibri" w:cs="Calibri" w:eastAsia="Calibri" w:hAnsi="Calibri"/>
          <w:sz w:val="22"/>
          <w:szCs w:val="22"/>
          <w:highlight w:val="yellow"/>
          <w:highlightCs w:val="yellow"/>
        </w:rPr>
        <w:t xml:space="preserve"> and found that active RIS wins </w:t>
      </w:r>
      <w:r>
        <w:rPr>
          <w:rFonts w:ascii="Calibri" w:cs="Calibri" w:eastAsia="Calibri" w:hAnsi="Calibri"/>
          <w:i/>
          <w:iCs/>
          <w:sz w:val="22"/>
          <w:szCs w:val="22"/>
          <w:highlight w:val="yellow"/>
          <w:highlightCs w:val="yellow"/>
        </w:rPr>
        <w:t xml:space="preserve">unless the power budget is very small or the element count is very large</w:t>
      </w:r>
      <w:r>
        <w:rPr>
          <w:rFonts w:ascii="Calibri" w:cs="Calibri" w:eastAsia="Calibri" w:hAnsi="Calibri"/>
          <w:sz w:val="22"/>
          <w:szCs w:val="22"/>
          <w:highlight w:val="yellow"/>
          <w:highlightCs w:val="yellow"/>
        </w:rPr>
        <w:t xml:space="preserve"> — and SENTRY's founding constraint (avoid installing a second powered unit at every blind corner) deliberately places it in exactly that small-power-budget regime. Under the project's own stated constraint, the published result tips toward staying passive by default, not toward going active.</w:t>
      </w:r>
    </w:p>
    <w:p>
      <w:pPr>
        <w:spacing w:after="160" w:line="276"/>
        <w:jc w:val="both"/>
      </w:pPr>
      <w:r>
        <w:rPr>
          <w:rFonts w:ascii="Calibri" w:cs="Calibri" w:eastAsia="Calibri" w:hAnsi="Calibri"/>
          <w:sz w:val="22"/>
          <w:szCs w:val="22"/>
          <w:highlight w:val="yellow"/>
          <w:highlightCs w:val="yellow"/>
        </w:rPr>
        <w:t xml:space="preserve">Hybrid resolves this cleanly, and is not a compromise invented for this project: a 2023 study on hybrid active-passive RIS for cooperative transmission describes a panel that “intelligently changes its operating mode according to the channel environment, eliminating the multiplicative fading effect of passive RIS and the higher power consumption of active RIS” — a precise description of SENTRY's own Active-Reflection RIS, with a published architecture pattern behind it. More useful still, a 2024 study on hybrid active-passive RIS transmitters found that </w:t>
      </w:r>
      <w:r>
        <w:rPr>
          <w:rFonts w:ascii="Calibri" w:cs="Calibri" w:eastAsia="Calibri" w:hAnsi="Calibri"/>
          <w:i/>
          <w:iCs/>
          <w:sz w:val="22"/>
          <w:szCs w:val="22"/>
          <w:highlight w:val="yellow"/>
          <w:highlightCs w:val="yellow"/>
        </w:rPr>
        <w:t xml:space="preserve">maximum energy efficiency comes from putting only a minority of elements in active mode</w:t>
      </w:r>
      <w:r>
        <w:rPr>
          <w:rFonts w:ascii="Calibri" w:cs="Calibri" w:eastAsia="Calibri" w:hAnsi="Calibri"/>
          <w:sz w:val="22"/>
          <w:szCs w:val="22"/>
          <w:highlight w:val="yellow"/>
          <w:highlightCs w:val="yellow"/>
        </w:rPr>
        <w:t xml:space="preserve">, with one cited result showing meaningful gains over a fully passive panel from as few as 4 of 50 elements (8%) being active. This is the basis for the ~5–10% active-element target now specified in Section 2's table, rather than leaving the active fraction unstated.</w:t>
      </w:r>
    </w:p>
    <w:p>
      <w:pPr>
        <w:spacing w:after="160" w:line="276"/>
        <w:jc w:val="both"/>
      </w:pPr>
      <w:r>
        <w:rPr>
          <w:rFonts w:ascii="Calibri" w:cs="Calibri" w:eastAsia="Calibri" w:hAnsi="Calibri"/>
          <w:sz w:val="22"/>
          <w:szCs w:val="22"/>
          <w:highlight w:val="yellow"/>
          <w:highlightCs w:val="yellow"/>
        </w:rPr>
        <w:t xml:space="preserve">One forward-looking possibility, not yet part of SENTRY's design: some hybrid RIS architectures route their active elements to a local receive chain, giving the panel a second use — estimating the angle of arrival of a reflection directly at the surface, independent of the roadside unit's own edge-AI classification. This is named here as a candidate future-work item, not a current capability.</w:t>
      </w:r>
    </w:p>
    <w:p>
      <w:pPr>
        <w:pStyle w:val="Heading1"/>
        <w:pBdr>
          <w:bottom w:val="single" w:color="2E74B5" w:sz="6" w:space="4"/>
        </w:pBdr>
        <w:spacing w:after="180" w:before="380"/>
      </w:pPr>
      <w:r>
        <w:rPr>
          <w:rFonts w:ascii="Calibri" w:cs="Calibri" w:eastAsia="Calibri" w:hAnsi="Calibri"/>
          <w:b/>
          <w:bCs/>
          <w:color w:val="1F3864"/>
          <w:sz w:val="27"/>
          <w:szCs w:val="27"/>
        </w:rPr>
        <w:t xml:space="preserve">7. Who This Helps, and How</w:t>
      </w:r>
    </w:p>
    <w:tbl>
      <w:tblPr>
        <w:tblW w:type="dxa" w:w="9360"/>
        <w:tblBorders>
          <w:top w:val="single" w:color="BFBFBF" w:sz="4"/>
          <w:left w:val="single" w:color="BFBFBF" w:sz="4"/>
          <w:bottom w:val="single" w:color="BFBFBF" w:sz="4"/>
          <w:right w:val="single" w:color="BFBFBF" w:sz="4"/>
          <w:insideH w:val="single" w:color="D9D9D9" w:sz="4"/>
          <w:insideV w:val="single" w:color="D9D9D9" w:sz="4"/>
        </w:tblBorders>
      </w:tblPr>
      <w:tblGrid>
        <w:gridCol w:w="2900"/>
        <w:gridCol w:w="6460"/>
      </w:tblGrid>
      <w:tr>
        <w:trPr>
          <w:tblHeader/>
        </w:trPr>
        <w:tc>
          <w:tcPr>
            <w:tcW w:type="dxa" w:w="2900"/>
            <w:shd w:fill="1F3864"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Who benefits</w:t>
            </w:r>
          </w:p>
        </w:tc>
        <w:tc>
          <w:tcPr>
            <w:tcW w:type="dxa" w:w="6460"/>
            <w:shd w:fill="1F3864"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How</w:t>
            </w:r>
          </w:p>
        </w:tc>
      </w:tr>
      <w:tr>
        <w:tc>
          <w:tcPr>
            <w:tcW w:type="dxa" w:w="2900"/>
            <w:shd w:fill="FFFFFF" w:val="clear"/>
            <w:tcMar>
              <w:top w:type="dxa" w:w="100"/>
              <w:left w:type="dxa" w:w="120"/>
              <w:bottom w:type="dxa" w:w="100"/>
              <w:right w:type="dxa" w:w="120"/>
            </w:tcMar>
            <w:vAlign w:val="center"/>
          </w:tcPr>
          <w:p>
            <w:pPr>
              <w:spacing w:after="0" w:line="276"/>
              <w:jc w:val="left"/>
            </w:pPr>
            <w:r>
              <w:rPr>
                <w:rFonts w:ascii="Calibri" w:cs="Calibri" w:eastAsia="Calibri" w:hAnsi="Calibri"/>
                <w:sz w:val="22"/>
                <w:szCs w:val="22"/>
              </w:rPr>
              <w:t xml:space="preserve">Pedestrians, cyclists, and two-wheeler riders</w:t>
            </w:r>
          </w:p>
        </w:tc>
        <w:tc>
          <w:tcPr>
            <w:tcW w:type="dxa" w:w="6460"/>
            <w:shd w:fill="FFFFFF" w:val="clear"/>
            <w:tcMar>
              <w:top w:type="dxa" w:w="100"/>
              <w:left w:type="dxa" w:w="120"/>
              <w:bottom w:type="dxa" w:w="100"/>
              <w:right w:type="dxa" w:w="120"/>
            </w:tcMar>
            <w:vAlign w:val="center"/>
          </w:tcPr>
          <w:p>
            <w:pPr>
              <w:spacing w:after="0" w:line="276"/>
              <w:jc w:val="left"/>
            </w:pPr>
            <w:r>
              <w:rPr>
                <w:rFonts w:ascii="Calibri" w:cs="Calibri" w:eastAsia="Calibri" w:hAnsi="Calibri"/>
                <w:sz w:val="22"/>
                <w:szCs w:val="22"/>
              </w:rPr>
              <w:t xml:space="preserve">These groups are the most exposed at blind intersections and the least protected by vehicle-centric safety features; a system that senses around corners protects exactly the people current vehicle safety technology tends to overlook.</w:t>
            </w:r>
          </w:p>
        </w:tc>
      </w:tr>
      <w:tr>
        <w:tc>
          <w:tcPr>
            <w:tcW w:type="dxa" w:w="2900"/>
            <w:shd w:fill="F2F2F2" w:val="clear"/>
            <w:tcMar>
              <w:top w:type="dxa" w:w="100"/>
              <w:left w:type="dxa" w:w="120"/>
              <w:bottom w:type="dxa" w:w="100"/>
              <w:right w:type="dxa" w:w="120"/>
            </w:tcMar>
            <w:vAlign w:val="center"/>
          </w:tcPr>
          <w:p>
            <w:pPr>
              <w:spacing w:after="0" w:line="276"/>
              <w:jc w:val="left"/>
            </w:pPr>
            <w:r>
              <w:rPr>
                <w:rFonts w:ascii="Calibri" w:cs="Calibri" w:eastAsia="Calibri" w:hAnsi="Calibri"/>
                <w:sz w:val="22"/>
                <w:szCs w:val="22"/>
              </w:rPr>
              <w:t xml:space="preserve">Drivers</w:t>
            </w:r>
          </w:p>
        </w:tc>
        <w:tc>
          <w:tcPr>
            <w:tcW w:type="dxa" w:w="6460"/>
            <w:shd w:fill="F2F2F2" w:val="clear"/>
            <w:tcMar>
              <w:top w:type="dxa" w:w="100"/>
              <w:left w:type="dxa" w:w="120"/>
              <w:bottom w:type="dxa" w:w="100"/>
              <w:right w:type="dxa" w:w="120"/>
            </w:tcMar>
            <w:vAlign w:val="center"/>
          </w:tcPr>
          <w:p>
            <w:pPr>
              <w:spacing w:after="0" w:line="276"/>
              <w:jc w:val="left"/>
            </w:pPr>
            <w:r>
              <w:rPr>
                <w:rFonts w:ascii="Calibri" w:cs="Calibri" w:eastAsia="Calibri" w:hAnsi="Calibri"/>
                <w:sz w:val="22"/>
                <w:szCs w:val="22"/>
              </w:rPr>
              <w:t xml:space="preserve">An early, reliable warning at a blind corner gives a driver time to react before a hazard is even visible — turning a blind guess into an informed decision.</w:t>
            </w:r>
          </w:p>
        </w:tc>
      </w:tr>
      <w:tr>
        <w:tc>
          <w:tcPr>
            <w:tcW w:type="dxa" w:w="2900"/>
            <w:shd w:fill="FFFFFF" w:val="clear"/>
            <w:tcMar>
              <w:top w:type="dxa" w:w="100"/>
              <w:left w:type="dxa" w:w="120"/>
              <w:bottom w:type="dxa" w:w="100"/>
              <w:right w:type="dxa" w:w="120"/>
            </w:tcMar>
            <w:vAlign w:val="center"/>
          </w:tcPr>
          <w:p>
            <w:pPr>
              <w:spacing w:after="0" w:line="276"/>
              <w:jc w:val="left"/>
            </w:pPr>
            <w:r>
              <w:rPr>
                <w:rFonts w:ascii="Calibri" w:cs="Calibri" w:eastAsia="Calibri" w:hAnsi="Calibri"/>
                <w:sz w:val="22"/>
                <w:szCs w:val="22"/>
              </w:rPr>
              <w:t xml:space="preserve">City and road authorities</w:t>
            </w:r>
          </w:p>
        </w:tc>
        <w:tc>
          <w:tcPr>
            <w:tcW w:type="dxa" w:w="6460"/>
            <w:shd w:fill="FFFFFF" w:val="clear"/>
            <w:tcMar>
              <w:top w:type="dxa" w:w="100"/>
              <w:left w:type="dxa" w:w="120"/>
              <w:bottom w:type="dxa" w:w="100"/>
              <w:right w:type="dxa" w:w="120"/>
            </w:tcMar>
            <w:vAlign w:val="center"/>
          </w:tcPr>
          <w:p>
            <w:pPr>
              <w:spacing w:after="0" w:line="276"/>
              <w:jc w:val="left"/>
            </w:pPr>
            <w:r>
              <w:rPr>
                <w:rFonts w:ascii="Calibri" w:cs="Calibri" w:eastAsia="Calibri" w:hAnsi="Calibri"/>
                <w:sz w:val="22"/>
                <w:szCs w:val="22"/>
              </w:rPr>
              <w:t xml:space="preserve">A passive, low-maintenance way to make a known dangerous intersection safer, without the ongoing cost and complexity of powering and maintaining an active sensor unit at every site.</w:t>
            </w:r>
          </w:p>
        </w:tc>
      </w:tr>
      <w:tr>
        <w:tc>
          <w:tcPr>
            <w:tcW w:type="dxa" w:w="2900"/>
            <w:shd w:fill="F2F2F2" w:val="clear"/>
            <w:tcMar>
              <w:top w:type="dxa" w:w="100"/>
              <w:left w:type="dxa" w:w="120"/>
              <w:bottom w:type="dxa" w:w="100"/>
              <w:right w:type="dxa" w:w="120"/>
            </w:tcMar>
            <w:vAlign w:val="center"/>
          </w:tcPr>
          <w:p>
            <w:pPr>
              <w:spacing w:after="0" w:line="276"/>
              <w:jc w:val="left"/>
            </w:pPr>
            <w:r>
              <w:rPr>
                <w:rFonts w:ascii="Calibri" w:cs="Calibri" w:eastAsia="Calibri" w:hAnsi="Calibri"/>
                <w:sz w:val="22"/>
                <w:szCs w:val="22"/>
              </w:rPr>
              <w:t xml:space="preserve">Autonomous and driver-assist vehicle systems</w:t>
            </w:r>
          </w:p>
        </w:tc>
        <w:tc>
          <w:tcPr>
            <w:tcW w:type="dxa" w:w="6460"/>
            <w:shd w:fill="F2F2F2" w:val="clear"/>
            <w:tcMar>
              <w:top w:type="dxa" w:w="100"/>
              <w:left w:type="dxa" w:w="120"/>
              <w:bottom w:type="dxa" w:w="100"/>
              <w:right w:type="dxa" w:w="120"/>
            </w:tcMar>
            <w:vAlign w:val="center"/>
          </w:tcPr>
          <w:p>
            <w:pPr>
              <w:spacing w:after="0" w:line="276"/>
              <w:jc w:val="left"/>
            </w:pPr>
            <w:r>
              <w:rPr>
                <w:rFonts w:ascii="Calibri" w:cs="Calibri" w:eastAsia="Calibri" w:hAnsi="Calibri"/>
                <w:sz w:val="22"/>
                <w:szCs w:val="22"/>
              </w:rPr>
              <w:t xml:space="preserve">A trustworthy, standards-aligned source of hazard information from infrastructure gives these systems a second, independent input beyond what their own onboard sensors can see.</w:t>
            </w:r>
          </w:p>
        </w:tc>
      </w:tr>
    </w:tbl>
    <w:p>
      <w:pPr>
        <w:pStyle w:val="Heading1"/>
        <w:pBdr>
          <w:bottom w:val="single" w:color="2E74B5" w:sz="6" w:space="4"/>
        </w:pBdr>
        <w:spacing w:after="180" w:before="380"/>
      </w:pPr>
      <w:r>
        <w:rPr>
          <w:rFonts w:ascii="Calibri" w:cs="Calibri" w:eastAsia="Calibri" w:hAnsi="Calibri"/>
          <w:b/>
          <w:bCs/>
          <w:color w:val="1F3864"/>
          <w:sz w:val="27"/>
          <w:szCs w:val="27"/>
        </w:rPr>
        <w:t xml:space="preserve">8. Roadmap</w:t>
      </w:r>
    </w:p>
    <w:p>
      <w:pPr>
        <w:pStyle w:val="Heading2"/>
        <w:spacing w:after="100" w:before="220"/>
      </w:pPr>
      <w:r>
        <w:rPr>
          <w:rFonts w:ascii="Calibri" w:cs="Calibri" w:eastAsia="Calibri" w:hAnsi="Calibri"/>
          <w:b/>
          <w:bCs/>
          <w:color w:val="2E74B5"/>
          <w:sz w:val="23"/>
          <w:szCs w:val="23"/>
        </w:rPr>
        <w:t xml:space="preserve">8.1 To succeed in the competition</w:t>
      </w:r>
    </w:p>
    <w:p>
      <w:pPr>
        <w:spacing w:after="160" w:line="276"/>
        <w:jc w:val="both"/>
      </w:pPr>
      <w:r>
        <w:rPr>
          <w:rFonts w:ascii="Calibri" w:cs="Calibri" w:eastAsia="Calibri" w:hAnsi="Calibri"/>
          <w:b/>
          <w:bCs/>
          <w:sz w:val="22"/>
          <w:szCs w:val="22"/>
        </w:rPr>
        <w:t xml:space="preserve">Application &amp; Shortlisting.</w:t>
      </w:r>
      <w:r>
        <w:rPr>
          <w:rFonts w:ascii="Calibri" w:cs="Calibri" w:eastAsia="Calibri" w:hAnsi="Calibri"/>
          <w:sz w:val="22"/>
          <w:szCs w:val="22"/>
        </w:rPr>
        <w:t xml:space="preserve"> Submit the written problem statement and proposed solution exactly as required by the competition's template, leading with the plain-language problem and the core idea, and reserving the deeper technical derivations for later stages.</w:t>
      </w:r>
    </w:p>
    <w:p>
      <w:pPr>
        <w:spacing w:after="160" w:line="276"/>
        <w:jc w:val="both"/>
      </w:pPr>
      <w:r>
        <w:rPr>
          <w:rFonts w:ascii="Calibri" w:cs="Calibri" w:eastAsia="Calibri" w:hAnsi="Calibri"/>
          <w:b/>
          <w:bCs/>
          <w:sz w:val="22"/>
          <w:szCs w:val="22"/>
        </w:rPr>
        <w:t xml:space="preserve">Design Specification.</w:t>
      </w:r>
      <w:r>
        <w:rPr>
          <w:rFonts w:ascii="Calibri" w:cs="Calibri" w:eastAsia="Calibri" w:hAnsi="Calibri"/>
          <w:sz w:val="22"/>
          <w:szCs w:val="22"/>
        </w:rPr>
        <w:t xml:space="preserve"> Turn the current simulations into a design deck: show the reasoning behind each engineering choice, the honest gaps still open, and a clear diagram of the full pipeline. This is the stage to present the v1-to-v3 hardening story, since it demonstrates iterative, defensible engineering rather than a one-shot idea.</w:t>
      </w:r>
    </w:p>
    <w:p>
      <w:pPr>
        <w:spacing w:after="160" w:line="276"/>
        <w:jc w:val="both"/>
      </w:pPr>
      <w:r>
        <w:rPr>
          <w:rFonts w:ascii="Calibri" w:cs="Calibri" w:eastAsia="Calibri" w:hAnsi="Calibri"/>
          <w:b/>
          <w:bCs/>
          <w:sz w:val="22"/>
          <w:szCs w:val="22"/>
        </w:rPr>
        <w:t xml:space="preserve">Prototype Development.</w:t>
      </w:r>
      <w:r>
        <w:rPr>
          <w:rFonts w:ascii="Calibri" w:cs="Calibri" w:eastAsia="Calibri" w:hAnsi="Calibri"/>
          <w:sz w:val="22"/>
          <w:szCs w:val="22"/>
        </w:rPr>
        <w:t xml:space="preserve"> Build the smallest physical demonstration that proves the core mechanism end to end: a real radio transmitting an OTFS-style signal, a physical reflective panel redirecting it around an obstruction, and an edge model correctly detecting and classifying a moving object from the reflected signal. It does not need to be a full intersection deployment — it needs to show that the physics and the pipeline genuinely work outside of simulation.</w:t>
      </w:r>
    </w:p>
    <w:p>
      <w:pPr>
        <w:spacing w:after="160" w:line="276"/>
        <w:jc w:val="both"/>
      </w:pPr>
      <w:r>
        <w:rPr>
          <w:rFonts w:ascii="Calibri" w:cs="Calibri" w:eastAsia="Calibri" w:hAnsi="Calibri"/>
          <w:b/>
          <w:bCs/>
          <w:sz w:val="22"/>
          <w:szCs w:val="22"/>
        </w:rPr>
        <w:t xml:space="preserve">Semi-Finals &amp; Finals.</w:t>
      </w:r>
      <w:r>
        <w:rPr>
          <w:rFonts w:ascii="Calibri" w:cs="Calibri" w:eastAsia="Calibri" w:hAnsi="Calibri"/>
          <w:sz w:val="22"/>
          <w:szCs w:val="22"/>
        </w:rPr>
        <w:t xml:space="preserve"> Prepare clear, honest answers for the toughest likely questions — what has actually been measured versus modelled, what happens under bad weather or heavy network load, and why this approach is fundamentally different from simply adding more conventional radar units. Judges reward teams that know exactly where their own work is strong and where it still needs proving. </w:t>
      </w:r>
      <w:r>
        <w:rPr>
          <w:rFonts w:ascii="Calibri" w:cs="Calibri" w:eastAsia="Calibri" w:hAnsi="Calibri"/>
          <w:sz w:val="22"/>
          <w:szCs w:val="22"/>
          <w:highlight w:val="yellow"/>
          <w:highlightCs w:val="yellow"/>
        </w:rPr>
        <w:t xml:space="preserve">Section 6 now gives the team a prepared, sourced answer to the radar-alternative question specifically, rather than leaving it for live improvisation.</w:t>
      </w:r>
    </w:p>
    <w:p>
      <w:pPr>
        <w:pStyle w:val="Heading2"/>
        <w:spacing w:after="100" w:before="220"/>
      </w:pPr>
      <w:r>
        <w:rPr>
          <w:rFonts w:ascii="Calibri" w:cs="Calibri" w:eastAsia="Calibri" w:hAnsi="Calibri"/>
          <w:b/>
          <w:bCs/>
          <w:color w:val="2E74B5"/>
          <w:sz w:val="23"/>
          <w:szCs w:val="23"/>
        </w:rPr>
        <w:t xml:space="preserve">8.2 To grow this from a college project into a product a company or government would actually buy</w:t>
      </w:r>
    </w:p>
    <w:p>
      <w:pPr>
        <w:spacing w:after="160" w:line="276"/>
        <w:jc w:val="both"/>
      </w:pPr>
      <w:r>
        <w:rPr>
          <w:rFonts w:ascii="Calibri" w:cs="Calibri" w:eastAsia="Calibri" w:hAnsi="Calibri"/>
          <w:b/>
          <w:bCs/>
          <w:sz w:val="22"/>
          <w:szCs w:val="22"/>
        </w:rPr>
        <w:t xml:space="preserve">Protect the idea. </w:t>
      </w:r>
      <w:r>
        <w:rPr>
          <w:rFonts w:ascii="Calibri" w:cs="Calibri" w:eastAsia="Calibri" w:hAnsi="Calibri"/>
          <w:sz w:val="22"/>
          <w:szCs w:val="22"/>
          <w:highlight w:val="yellow"/>
          <w:highlightCs w:val="yellow"/>
        </w:rPr>
        <w:t xml:space="preserve">Before filing anything or sharing detailed technical material outside the team, commission a formal, CPC-classified prior-art and freedom-to-operate search — covering RIS-assisted sensing, OTFS/delay-Doppler modulation, and vehicular radar/anti-collision classifications, across USPTO, EPO, the Indian Patent Office, and CNIPA. Only once that search is in hand does it make sense to file a provisional patent on the specific combination of techniques it confirms is actually unclaimed — particularly the active-reflection hybrid approach and the RSU-side pre-coding split — since the novelty lies in how these pieces are combined for this use case, and that claim is only as strong as the search behind it.</w:t>
      </w:r>
    </w:p>
    <w:p>
      <w:pPr>
        <w:spacing w:after="160" w:line="276"/>
        <w:jc w:val="both"/>
      </w:pPr>
      <w:r>
        <w:rPr>
          <w:rFonts w:ascii="Calibri" w:cs="Calibri" w:eastAsia="Calibri" w:hAnsi="Calibri"/>
          <w:b/>
          <w:bCs/>
          <w:sz w:val="22"/>
          <w:szCs w:val="22"/>
        </w:rPr>
        <w:t xml:space="preserve">Move from simulation to real hardware validation.</w:t>
      </w:r>
      <w:r>
        <w:rPr>
          <w:rFonts w:ascii="Calibri" w:cs="Calibri" w:eastAsia="Calibri" w:hAnsi="Calibri"/>
          <w:sz w:val="22"/>
          <w:szCs w:val="22"/>
        </w:rPr>
        <w:t xml:space="preserve"> Build a small real-world testbed using programmable radio hardware and an actual reflective panel at a real (even low-traffic) blind corner. A working, physically demonstrated result is what turns a compelling idea into something a serious buyer will take seriously.</w:t>
      </w:r>
    </w:p>
    <w:p>
      <w:pPr>
        <w:spacing w:after="160" w:line="276"/>
        <w:jc w:val="both"/>
      </w:pPr>
      <w:r>
        <w:rPr>
          <w:rFonts w:ascii="Calibri" w:cs="Calibri" w:eastAsia="Calibri" w:hAnsi="Calibri"/>
          <w:b/>
          <w:bCs/>
          <w:sz w:val="22"/>
          <w:szCs w:val="22"/>
        </w:rPr>
        <w:t xml:space="preserve">Align formally with the standards bodies already moving in this direction.</w:t>
      </w:r>
      <w:r>
        <w:rPr>
          <w:rFonts w:ascii="Calibri" w:cs="Calibri" w:eastAsia="Calibri" w:hAnsi="Calibri"/>
          <w:sz w:val="22"/>
          <w:szCs w:val="22"/>
        </w:rPr>
        <w:t xml:space="preserve"> Engage early with the telecom standards and industry groups already defining sensing-and-communication features for the next generation of mobile networks. Being built to fit inside an emerging standard, rather than around it, is what makes a system easy for a telecom vendor or government body to eventually adopt.</w:t>
      </w:r>
    </w:p>
    <w:p>
      <w:pPr>
        <w:spacing w:after="160" w:line="276"/>
        <w:jc w:val="both"/>
      </w:pPr>
      <w:r>
        <w:rPr>
          <w:rFonts w:ascii="Calibri" w:cs="Calibri" w:eastAsia="Calibri" w:hAnsi="Calibri"/>
          <w:b/>
          <w:bCs/>
          <w:sz w:val="22"/>
          <w:szCs w:val="22"/>
        </w:rPr>
        <w:t xml:space="preserve">Identify the real buyer and the real budget line.</w:t>
      </w:r>
      <w:r>
        <w:rPr>
          <w:rFonts w:ascii="Calibri" w:cs="Calibri" w:eastAsia="Calibri" w:hAnsi="Calibri"/>
          <w:sz w:val="22"/>
          <w:szCs w:val="22"/>
        </w:rPr>
        <w:t xml:space="preserve"> A city or state road-safety authority (through its road transport and highways department, or a smart-city programme) is a realistic government buyer, since blind intersections are already a known, tracked category of hazard site. On the private side, telecom infrastructure vendors and network operators are the natural buyers, since SENTRY extends the value of infrastructure they already plan to deploy for other reasons.</w:t>
      </w:r>
    </w:p>
    <w:p>
      <w:pPr>
        <w:spacing w:after="160" w:line="276"/>
        <w:jc w:val="both"/>
      </w:pPr>
      <w:r>
        <w:rPr>
          <w:rFonts w:ascii="Calibri" w:cs="Calibri" w:eastAsia="Calibri" w:hAnsi="Calibri"/>
          <w:b/>
          <w:bCs/>
          <w:sz w:val="22"/>
          <w:szCs w:val="22"/>
        </w:rPr>
        <w:t xml:space="preserve">Pilot before pitching at scale.</w:t>
      </w:r>
      <w:r>
        <w:rPr>
          <w:rFonts w:ascii="Calibri" w:cs="Calibri" w:eastAsia="Calibri" w:hAnsi="Calibri"/>
          <w:sz w:val="22"/>
          <w:szCs w:val="22"/>
        </w:rPr>
        <w:t xml:space="preserve"> Run a single, well-documented pilot deployment at one real intersection, ideally in partnership with a local traffic or transport authority. A single credible pilot, honestly reported including its limitations, is worth far more to a government or corporate buyer than a large simulated claim.</w:t>
      </w:r>
    </w:p>
    <w:p>
      <w:pPr>
        <w:spacing w:after="160" w:line="276"/>
        <w:jc w:val="both"/>
      </w:pPr>
      <w:r>
        <w:rPr>
          <w:rFonts w:ascii="Calibri" w:cs="Calibri" w:eastAsia="Calibri" w:hAnsi="Calibri"/>
          <w:b/>
          <w:bCs/>
          <w:sz w:val="22"/>
          <w:szCs w:val="22"/>
        </w:rPr>
        <w:t xml:space="preserve">Package it as an infrastructure product, not a research result.</w:t>
      </w:r>
      <w:r>
        <w:rPr>
          <w:rFonts w:ascii="Calibri" w:cs="Calibri" w:eastAsia="Calibri" w:hAnsi="Calibri"/>
          <w:sz w:val="22"/>
          <w:szCs w:val="22"/>
        </w:rPr>
        <w:t xml:space="preserve"> Define what is actually being sold — the hardware (roadside unit and reflective panel), the software (edge AI and network integration), and the ongoing service (monitoring, updates, and support) — as a coherent package with a clear cost and installation story, rather than as a standalone research finding.</w:t>
      </w:r>
    </w:p>
    <w:sectPr>
      <w:headerReference w:type="default" r:id="rId7"/>
      <w:footerReference w:type="default" r:id="rId8"/>
      <w:pgSz w:w="12240" w:h="15840" w:orient="portrait"/>
      <w:pgMar w:top="1100" w:right="1440" w:bottom="11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Page </w:t>
    </w:r>
    <w:r>
      <w:rPr>
        <w:rFonts w:ascii="Calibri" w:cs="Calibri" w:eastAsia="Calibri" w:hAnsi="Calibri"/>
        <w:color w:val="595959"/>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of </w:t>
    </w:r>
    <w:r>
      <w:rPr>
        <w:rFonts w:ascii="Calibri" w:cs="Calibri" w:eastAsia="Calibri" w:hAnsi="Calibri"/>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95959"/>
        <w:sz w:val="15"/>
        <w:szCs w:val="15"/>
      </w:rPr>
      <w:t xml:space="preserve">SENTRY v3 — Team CacheMe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e85c18e06984594eb6b2f26a76549ce59a48f09.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2026-09-23T16:44:22.653Z</dcterms:created>
  <dcterms:modified xsi:type="dcterms:W3CDTF">2026-09-23T16:44:22.668Z</dcterms:modified>
</cp:coreProperties>
</file>

<file path=docProps/custom.xml><?xml version="1.0" encoding="utf-8"?>
<Properties xmlns="http://schemas.openxmlformats.org/officeDocument/2006/custom-properties" xmlns:vt="http://schemas.openxmlformats.org/officeDocument/2006/docPropsVTypes"/>
</file>