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DIGITAL WALLET MANAGEMENT SYSTEM</w:t>
      </w:r>
    </w:p>
    <w:p>
      <w:pPr>
        <w:jc w:val="center"/>
      </w:pPr>
      <w:r>
        <w:rPr>
          <w:b/>
          <w:sz w:val="30"/>
        </w:rPr>
        <w:t>Software Metrics and Component Analysis</w:t>
      </w:r>
    </w:p>
    <w:p>
      <w:r>
        <w:t>Prepared from the Digital Wallet Management System – Software Requirements Specification (SRS), Version 1.0, August 2026.</w:t>
      </w:r>
    </w:p>
    <w:p>
      <w:pPr>
        <w:pStyle w:val="Heading1"/>
      </w:pPr>
      <w:r>
        <w:t>1. Introduction</w:t>
      </w:r>
    </w:p>
    <w:p>
      <w:r>
        <w:t>This document presents software metrics and component analysis for the Digital Wallet Management System (DWMS). Software metrics provide measurable indicators of size, complexity, quality, performance, and reliability. Component analysis identifies the major modules, their responsibilities, inputs, outputs, and dependencies.</w:t>
      </w:r>
    </w:p>
    <w:p>
      <w:r>
        <w:t>The SRS describes registration and authentication, KYC verification, wallet funding and withdrawals, peer-to-peer transfers, merchant and bill payments, transaction history, fraud monitoring, notifications, dispute handling, administration, compliance reporting, and audit logging.</w:t>
      </w:r>
    </w:p>
    <w:p>
      <w:pPr>
        <w:pStyle w:val="Heading1"/>
      </w:pPr>
      <w:r>
        <w:t>2. Software Metrics Analysis</w:t>
      </w:r>
    </w:p>
    <w:p>
      <w:r>
        <w:t>Software metrics are quantitative measures used to evaluate software characteristics. The metrics below are relevant to DWMS because the system processes financial transactions and sensitive user information.</w:t>
      </w:r>
    </w:p>
    <w:p>
      <w:pPr>
        <w:pStyle w:val="Heading2"/>
      </w:pPr>
      <w:r>
        <w:t>2.1 Key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b/>
                <w:color w:val="FFFFFF"/>
              </w:rPr>
              <w:t>Metric</w:t>
            </w:r>
          </w:p>
        </w:tc>
        <w:tc>
          <w:tcPr>
            <w:tcW w:type="dxa" w:w="3408"/>
            <w:shd w:fill="1F4E79"/>
            <w:vAlign w:val="center"/>
          </w:tcPr>
          <w:p>
            <w:r>
              <w:rPr>
                <w:b/>
                <w:color w:val="FFFFFF"/>
              </w:rPr>
              <w:t>Meaning</w:t>
            </w:r>
          </w:p>
        </w:tc>
        <w:tc>
          <w:tcPr>
            <w:tcW w:type="dxa" w:w="3408"/>
            <w:shd w:fill="1F4E79"/>
            <w:vAlign w:val="center"/>
          </w:tcPr>
          <w:p>
            <w:r>
              <w:rPr>
                <w:b/>
                <w:color w:val="FFFFFF"/>
              </w:rPr>
              <w:t>Application to DWMS</w:t>
            </w:r>
          </w:p>
        </w:tc>
      </w:tr>
      <w:tr>
        <w:tc>
          <w:tcPr>
            <w:tcW w:type="dxa" w:w="3408"/>
            <w:vAlign w:val="center"/>
          </w:tcPr>
          <w:p>
            <w:r>
              <w:t>Lines of Code (LOC)</w:t>
            </w:r>
          </w:p>
        </w:tc>
        <w:tc>
          <w:tcPr>
            <w:tcW w:type="dxa" w:w="3408"/>
            <w:vAlign w:val="center"/>
          </w:tcPr>
          <w:p>
            <w:r>
              <w:t>Measures source-code size.</w:t>
            </w:r>
          </w:p>
        </w:tc>
        <w:tc>
          <w:tcPr>
            <w:tcW w:type="dxa" w:w="3408"/>
            <w:vAlign w:val="center"/>
          </w:tcPr>
          <w:p>
            <w:r>
              <w:t>Estimate the size of wallet, payment, authentication, and reporting modules.</w:t>
            </w:r>
          </w:p>
        </w:tc>
      </w:tr>
      <w:tr>
        <w:tc>
          <w:tcPr>
            <w:tcW w:type="dxa" w:w="3408"/>
            <w:vAlign w:val="center"/>
          </w:tcPr>
          <w:p>
            <w:r>
              <w:t>Function Points (FP)</w:t>
            </w:r>
          </w:p>
        </w:tc>
        <w:tc>
          <w:tcPr>
            <w:tcW w:type="dxa" w:w="3408"/>
            <w:vAlign w:val="center"/>
          </w:tcPr>
          <w:p>
            <w:r>
              <w:t>Measures user-visible functionality.</w:t>
            </w:r>
          </w:p>
        </w:tc>
        <w:tc>
          <w:tcPr>
            <w:tcW w:type="dxa" w:w="3408"/>
            <w:vAlign w:val="center"/>
          </w:tcPr>
          <w:p>
            <w:r>
              <w:t>Assess registration, KYC, transfers, bill payments, and reporting features.</w:t>
            </w:r>
          </w:p>
        </w:tc>
      </w:tr>
      <w:tr>
        <w:tc>
          <w:tcPr>
            <w:tcW w:type="dxa" w:w="3408"/>
            <w:vAlign w:val="center"/>
          </w:tcPr>
          <w:p>
            <w:r>
              <w:t>Cyclomatic Complexity</w:t>
            </w:r>
          </w:p>
        </w:tc>
        <w:tc>
          <w:tcPr>
            <w:tcW w:type="dxa" w:w="3408"/>
            <w:vAlign w:val="center"/>
          </w:tcPr>
          <w:p>
            <w:r>
              <w:t>Measures independent paths through code.</w:t>
            </w:r>
          </w:p>
        </w:tc>
        <w:tc>
          <w:tcPr>
            <w:tcW w:type="dxa" w:w="3408"/>
            <w:vAlign w:val="center"/>
          </w:tcPr>
          <w:p>
            <w:r>
              <w:t>Assess transaction validation, limit checks, and fraud decision logic.</w:t>
            </w:r>
          </w:p>
        </w:tc>
      </w:tr>
      <w:tr>
        <w:tc>
          <w:tcPr>
            <w:tcW w:type="dxa" w:w="3408"/>
            <w:vAlign w:val="center"/>
          </w:tcPr>
          <w:p>
            <w:r>
              <w:t>Code Coverage</w:t>
            </w:r>
          </w:p>
        </w:tc>
        <w:tc>
          <w:tcPr>
            <w:tcW w:type="dxa" w:w="3408"/>
            <w:vAlign w:val="center"/>
          </w:tcPr>
          <w:p>
            <w:r>
              <w:t>Percentage of code exercised by tests.</w:t>
            </w:r>
          </w:p>
        </w:tc>
        <w:tc>
          <w:tcPr>
            <w:tcW w:type="dxa" w:w="3408"/>
            <w:vAlign w:val="center"/>
          </w:tcPr>
          <w:p>
            <w:r>
              <w:t>Check whether critical wallet and payment logic is covered by automated tests.</w:t>
            </w:r>
          </w:p>
        </w:tc>
      </w:tr>
      <w:tr>
        <w:tc>
          <w:tcPr>
            <w:tcW w:type="dxa" w:w="3408"/>
            <w:vAlign w:val="center"/>
          </w:tcPr>
          <w:p>
            <w:r>
              <w:t>Defect Density</w:t>
            </w:r>
          </w:p>
        </w:tc>
        <w:tc>
          <w:tcPr>
            <w:tcW w:type="dxa" w:w="3408"/>
            <w:vAlign w:val="center"/>
          </w:tcPr>
          <w:p>
            <w:r>
              <w:t>Defects per unit of code, commonly per KLOC.</w:t>
            </w:r>
          </w:p>
        </w:tc>
        <w:tc>
          <w:tcPr>
            <w:tcW w:type="dxa" w:w="3408"/>
            <w:vAlign w:val="center"/>
          </w:tcPr>
          <w:p>
            <w:r>
              <w:t>Track software defects found during testing.</w:t>
            </w:r>
          </w:p>
        </w:tc>
      </w:tr>
      <w:tr>
        <w:tc>
          <w:tcPr>
            <w:tcW w:type="dxa" w:w="3408"/>
            <w:vAlign w:val="center"/>
          </w:tcPr>
          <w:p>
            <w:r>
              <w:t>Response Time</w:t>
            </w:r>
          </w:p>
        </w:tc>
        <w:tc>
          <w:tcPr>
            <w:tcW w:type="dxa" w:w="3408"/>
            <w:vAlign w:val="center"/>
          </w:tcPr>
          <w:p>
            <w:r>
              <w:t>Time between a request and its response.</w:t>
            </w:r>
          </w:p>
        </w:tc>
        <w:tc>
          <w:tcPr>
            <w:tcW w:type="dxa" w:w="3408"/>
            <w:vAlign w:val="center"/>
          </w:tcPr>
          <w:p>
            <w:r>
              <w:t>Measure balance checks, transfers, funding, and merchant payments.</w:t>
            </w:r>
          </w:p>
        </w:tc>
      </w:tr>
      <w:tr>
        <w:tc>
          <w:tcPr>
            <w:tcW w:type="dxa" w:w="3408"/>
            <w:vAlign w:val="center"/>
          </w:tcPr>
          <w:p>
            <w:r>
              <w:t>Availability</w:t>
            </w:r>
          </w:p>
        </w:tc>
        <w:tc>
          <w:tcPr>
            <w:tcW w:type="dxa" w:w="3408"/>
            <w:vAlign w:val="center"/>
          </w:tcPr>
          <w:p>
            <w:r>
              <w:t>Proportion of scheduled time the system is operational.</w:t>
            </w:r>
          </w:p>
        </w:tc>
        <w:tc>
          <w:tcPr>
            <w:tcW w:type="dxa" w:w="3408"/>
            <w:vAlign w:val="center"/>
          </w:tcPr>
          <w:p>
            <w:r>
              <w:t>Evaluate access to wallet services.</w:t>
            </w:r>
          </w:p>
        </w:tc>
      </w:tr>
      <w:tr>
        <w:tc>
          <w:tcPr>
            <w:tcW w:type="dxa" w:w="3408"/>
            <w:vAlign w:val="center"/>
          </w:tcPr>
          <w:p>
            <w:r>
              <w:t>Coupling</w:t>
            </w:r>
          </w:p>
        </w:tc>
        <w:tc>
          <w:tcPr>
            <w:tcW w:type="dxa" w:w="3408"/>
            <w:vAlign w:val="center"/>
          </w:tcPr>
          <w:p>
            <w:r>
              <w:t>Degree of dependency between modules.</w:t>
            </w:r>
          </w:p>
        </w:tc>
        <w:tc>
          <w:tcPr>
            <w:tcW w:type="dxa" w:w="3408"/>
            <w:vAlign w:val="center"/>
          </w:tcPr>
          <w:p>
            <w:r>
              <w:t>Review dependencies between transaction, wallet, risk, and notification services.</w:t>
            </w:r>
          </w:p>
        </w:tc>
      </w:tr>
      <w:tr>
        <w:tc>
          <w:tcPr>
            <w:tcW w:type="dxa" w:w="3408"/>
            <w:vAlign w:val="center"/>
          </w:tcPr>
          <w:p>
            <w:r>
              <w:t>Cohesion</w:t>
            </w:r>
          </w:p>
        </w:tc>
        <w:tc>
          <w:tcPr>
            <w:tcW w:type="dxa" w:w="3408"/>
            <w:vAlign w:val="center"/>
          </w:tcPr>
          <w:p>
            <w:r>
              <w:t>How closely a component's responsibilities relate.</w:t>
            </w:r>
          </w:p>
        </w:tc>
        <w:tc>
          <w:tcPr>
            <w:tcW w:type="dxa" w:w="3408"/>
            <w:vAlign w:val="center"/>
          </w:tcPr>
          <w:p>
            <w:r>
              <w:t>Check that each service has a focused responsibility.</w:t>
            </w:r>
          </w:p>
        </w:tc>
      </w:tr>
    </w:tbl>
    <w:p/>
    <w:p>
      <w:pPr>
        <w:pStyle w:val="Heading2"/>
      </w:pPr>
      <w:r>
        <w:t>2.2 Suggested Targets for Testing</w:t>
      </w:r>
    </w:p>
    <w:p>
      <w:r>
        <w:t>The following are proposed project targets for planning and acceptance testing. They are not measured results and are not specified as numerical targets in the SRS.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b/>
                <w:color w:val="FFFFFF"/>
              </w:rPr>
              <w:t>Metric</w:t>
            </w:r>
          </w:p>
        </w:tc>
        <w:tc>
          <w:tcPr>
            <w:tcW w:type="dxa" w:w="3408"/>
            <w:shd w:fill="1F4E79"/>
            <w:vAlign w:val="center"/>
          </w:tcPr>
          <w:p>
            <w:r>
              <w:rPr>
                <w:b/>
                <w:color w:val="FFFFFF"/>
              </w:rPr>
              <w:t>Suggested Target</w:t>
            </w:r>
          </w:p>
        </w:tc>
        <w:tc>
          <w:tcPr>
            <w:tcW w:type="dxa" w:w="3408"/>
            <w:shd w:fill="1F4E79"/>
            <w:vAlign w:val="center"/>
          </w:tcPr>
          <w:p>
            <w:r>
              <w:rPr>
                <w:b/>
                <w:color w:val="FFFFFF"/>
              </w:rPr>
              <w:t>Notes</w:t>
            </w:r>
          </w:p>
        </w:tc>
      </w:tr>
      <w:tr>
        <w:tc>
          <w:tcPr>
            <w:tcW w:type="dxa" w:w="3408"/>
            <w:vAlign w:val="center"/>
          </w:tcPr>
          <w:p>
            <w:r>
              <w:t>Common API response time</w:t>
            </w:r>
          </w:p>
        </w:tc>
        <w:tc>
          <w:tcPr>
            <w:tcW w:type="dxa" w:w="3408"/>
            <w:vAlign w:val="center"/>
          </w:tcPr>
          <w:p>
            <w:r>
              <w:t>Under 2 seconds under normal test conditions</w:t>
            </w:r>
          </w:p>
        </w:tc>
        <w:tc>
          <w:tcPr>
            <w:tcW w:type="dxa" w:w="3408"/>
            <w:vAlign w:val="center"/>
          </w:tcPr>
          <w:p>
            <w:r>
              <w:t>Measure using a defined workload and test environment.</w:t>
            </w:r>
          </w:p>
        </w:tc>
      </w:tr>
      <w:tr>
        <w:tc>
          <w:tcPr>
            <w:tcW w:type="dxa" w:w="3408"/>
            <w:vAlign w:val="center"/>
          </w:tcPr>
          <w:p>
            <w:r>
              <w:t>Unit test coverage</w:t>
            </w:r>
          </w:p>
        </w:tc>
        <w:tc>
          <w:tcPr>
            <w:tcW w:type="dxa" w:w="3408"/>
            <w:vAlign w:val="center"/>
          </w:tcPr>
          <w:p>
            <w:r>
              <w:t>At least 80% for critical business logic</w:t>
            </w:r>
          </w:p>
        </w:tc>
        <w:tc>
          <w:tcPr>
            <w:tcW w:type="dxa" w:w="3408"/>
            <w:vAlign w:val="center"/>
          </w:tcPr>
          <w:p>
            <w:r>
              <w:t>Coverage alone does not prove correctness.</w:t>
            </w:r>
          </w:p>
        </w:tc>
      </w:tr>
      <w:tr>
        <w:tc>
          <w:tcPr>
            <w:tcW w:type="dxa" w:w="3408"/>
            <w:vAlign w:val="center"/>
          </w:tcPr>
          <w:p>
            <w:r>
              <w:t>Availability</w:t>
            </w:r>
          </w:p>
        </w:tc>
        <w:tc>
          <w:tcPr>
            <w:tcW w:type="dxa" w:w="3408"/>
            <w:vAlign w:val="center"/>
          </w:tcPr>
          <w:p>
            <w:r>
              <w:t>99.5% monthly</w:t>
            </w:r>
          </w:p>
        </w:tc>
        <w:tc>
          <w:tcPr>
            <w:tcW w:type="dxa" w:w="3408"/>
            <w:vAlign w:val="center"/>
          </w:tcPr>
          <w:p>
            <w:r>
              <w:t>Exclude planned maintenance only if the project defines that policy.</w:t>
            </w:r>
          </w:p>
        </w:tc>
      </w:tr>
      <w:tr>
        <w:tc>
          <w:tcPr>
            <w:tcW w:type="dxa" w:w="3408"/>
            <w:vAlign w:val="center"/>
          </w:tcPr>
          <w:p>
            <w:r>
              <w:t>Transaction integrity</w:t>
            </w:r>
          </w:p>
        </w:tc>
        <w:tc>
          <w:tcPr>
            <w:tcW w:type="dxa" w:w="3408"/>
            <w:vAlign w:val="center"/>
          </w:tcPr>
          <w:p>
            <w:r>
              <w:t>100% consistency in tested debit/credit operations</w:t>
            </w:r>
          </w:p>
        </w:tc>
        <w:tc>
          <w:tcPr>
            <w:tcW w:type="dxa" w:w="3408"/>
            <w:vAlign w:val="center"/>
          </w:tcPr>
          <w:p>
            <w:r>
              <w:t>Test atomic transfers, retries, reversals, and failures.</w:t>
            </w:r>
          </w:p>
        </w:tc>
      </w:tr>
      <w:tr>
        <w:tc>
          <w:tcPr>
            <w:tcW w:type="dxa" w:w="3408"/>
            <w:vAlign w:val="center"/>
          </w:tcPr>
          <w:p>
            <w:r>
              <w:t>Critical security defects</w:t>
            </w:r>
          </w:p>
        </w:tc>
        <w:tc>
          <w:tcPr>
            <w:tcW w:type="dxa" w:w="3408"/>
            <w:vAlign w:val="center"/>
          </w:tcPr>
          <w:p>
            <w:r>
              <w:t>Zero unresolved critical defects before release</w:t>
            </w:r>
          </w:p>
        </w:tc>
        <w:tc>
          <w:tcPr>
            <w:tcW w:type="dxa" w:w="3408"/>
            <w:vAlign w:val="center"/>
          </w:tcPr>
          <w:p>
            <w:r>
              <w:t>Requires security testing and a defined severity scale.</w:t>
            </w:r>
          </w:p>
        </w:tc>
      </w:tr>
      <w:tr>
        <w:tc>
          <w:tcPr>
            <w:tcW w:type="dxa" w:w="3408"/>
            <w:vAlign w:val="center"/>
          </w:tcPr>
          <w:p>
            <w:r>
              <w:t>Cyclomatic complexity</w:t>
            </w:r>
          </w:p>
        </w:tc>
        <w:tc>
          <w:tcPr>
            <w:tcW w:type="dxa" w:w="3408"/>
            <w:vAlign w:val="center"/>
          </w:tcPr>
          <w:p>
            <w:r>
              <w:t>Preferably 10 or lower per function</w:t>
            </w:r>
          </w:p>
        </w:tc>
        <w:tc>
          <w:tcPr>
            <w:tcW w:type="dxa" w:w="3408"/>
            <w:vAlign w:val="center"/>
          </w:tcPr>
          <w:p>
            <w:r>
              <w:t>A guideline for review, not an absolute rule.</w:t>
            </w:r>
          </w:p>
        </w:tc>
      </w:tr>
      <w:tr>
        <w:tc>
          <w:tcPr>
            <w:tcW w:type="dxa" w:w="3408"/>
            <w:vAlign w:val="center"/>
          </w:tcPr>
          <w:p>
            <w:r>
              <w:t>Duplicate transaction processing</w:t>
            </w:r>
          </w:p>
        </w:tc>
        <w:tc>
          <w:tcPr>
            <w:tcW w:type="dxa" w:w="3408"/>
            <w:vAlign w:val="center"/>
          </w:tcPr>
          <w:p>
            <w:r>
              <w:t>No duplicate debit/credit in tested retry scenarios</w:t>
            </w:r>
          </w:p>
        </w:tc>
        <w:tc>
          <w:tcPr>
            <w:tcW w:type="dxa" w:w="3408"/>
            <w:vAlign w:val="center"/>
          </w:tcPr>
          <w:p>
            <w:r>
              <w:t>Test idempotency and timeout/retry behavior.</w:t>
            </w:r>
          </w:p>
        </w:tc>
      </w:tr>
    </w:tbl>
    <w:p/>
    <w:p>
      <w:pPr>
        <w:pStyle w:val="Heading2"/>
      </w:pPr>
      <w:r>
        <w:t>2.3 Cyclomatic Complexity</w:t>
      </w:r>
    </w:p>
    <w:p>
      <w:r>
        <w:t>Cyclomatic complexity estimates the number of independent paths in a function.</w:t>
      </w:r>
    </w:p>
    <w:p>
      <w:pPr/>
      <w:r>
        <w:t>Formula: V(G) = E − N + 2P</w:t>
      </w:r>
    </w:p>
    <w:p>
      <w:r>
        <w:t>E is the number of control-flow graph edges, N is the number of nodes, and P is the number of connected components (normally 1 for a single function). For a function with three independent decisions—authentication valid, sufficient balance, and transaction within limits—the approximate complexity is 3 + 1 = 4.</w:t>
      </w:r>
    </w:p>
    <w:p>
      <w:r>
        <w:t>This example is illustrative. The actual complexity of DWMS functions must be calculated from the implemented code.</w:t>
      </w:r>
    </w:p>
    <w:p>
      <w:pPr>
        <w:pStyle w:val="Heading2"/>
      </w:pPr>
      <w:r>
        <w:t>2.4 Reliability and Performance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b/>
                <w:color w:val="FFFFFF"/>
              </w:rPr>
              <w:t>Metric</w:t>
            </w:r>
          </w:p>
        </w:tc>
        <w:tc>
          <w:tcPr>
            <w:tcW w:type="dxa" w:w="3408"/>
            <w:shd w:fill="1F4E79"/>
            <w:vAlign w:val="center"/>
          </w:tcPr>
          <w:p>
            <w:r>
              <w:rPr>
                <w:b/>
                <w:color w:val="FFFFFF"/>
              </w:rPr>
              <w:t>Formula / Evaluation</w:t>
            </w:r>
          </w:p>
        </w:tc>
        <w:tc>
          <w:tcPr>
            <w:tcW w:type="dxa" w:w="3408"/>
            <w:shd w:fill="1F4E79"/>
            <w:vAlign w:val="center"/>
          </w:tcPr>
          <w:p>
            <w:r>
              <w:rPr>
                <w:b/>
                <w:color w:val="FFFFFF"/>
              </w:rPr>
              <w:t>DWMS Use</w:t>
            </w:r>
          </w:p>
        </w:tc>
      </w:tr>
      <w:tr>
        <w:tc>
          <w:tcPr>
            <w:tcW w:type="dxa" w:w="3408"/>
            <w:vAlign w:val="center"/>
          </w:tcPr>
          <w:p>
            <w:r>
              <w:t>Availability</w:t>
            </w:r>
          </w:p>
        </w:tc>
        <w:tc>
          <w:tcPr>
            <w:tcW w:type="dxa" w:w="3408"/>
            <w:vAlign w:val="center"/>
          </w:tcPr>
          <w:p>
            <w:r>
              <w:t>Uptime ÷ Total scheduled time × 100</w:t>
            </w:r>
          </w:p>
        </w:tc>
        <w:tc>
          <w:tcPr>
            <w:tcW w:type="dxa" w:w="3408"/>
            <w:vAlign w:val="center"/>
          </w:tcPr>
          <w:p>
            <w:r>
              <w:t>Measure whether wallet services remain accessible.</w:t>
            </w:r>
          </w:p>
        </w:tc>
      </w:tr>
      <w:tr>
        <w:tc>
          <w:tcPr>
            <w:tcW w:type="dxa" w:w="3408"/>
            <w:vAlign w:val="center"/>
          </w:tcPr>
          <w:p>
            <w:r>
              <w:t>Defect Density</w:t>
            </w:r>
          </w:p>
        </w:tc>
        <w:tc>
          <w:tcPr>
            <w:tcW w:type="dxa" w:w="3408"/>
            <w:vAlign w:val="center"/>
          </w:tcPr>
          <w:p>
            <w:r>
              <w:t>Number of defects ÷ KLOC</w:t>
            </w:r>
          </w:p>
        </w:tc>
        <w:tc>
          <w:tcPr>
            <w:tcW w:type="dxa" w:w="3408"/>
            <w:vAlign w:val="center"/>
          </w:tcPr>
          <w:p>
            <w:r>
              <w:t>Requires source-code size and recorded defect counts.</w:t>
            </w:r>
          </w:p>
        </w:tc>
      </w:tr>
      <w:tr>
        <w:tc>
          <w:tcPr>
            <w:tcW w:type="dxa" w:w="3408"/>
            <w:vAlign w:val="center"/>
          </w:tcPr>
          <w:p>
            <w:r>
              <w:t>Response Time</w:t>
            </w:r>
          </w:p>
        </w:tc>
        <w:tc>
          <w:tcPr>
            <w:tcW w:type="dxa" w:w="3408"/>
            <w:vAlign w:val="center"/>
          </w:tcPr>
          <w:p>
            <w:r>
              <w:t>Elapsed time from request to response</w:t>
            </w:r>
          </w:p>
        </w:tc>
        <w:tc>
          <w:tcPr>
            <w:tcW w:type="dxa" w:w="3408"/>
            <w:vAlign w:val="center"/>
          </w:tcPr>
          <w:p>
            <w:r>
              <w:t>Measure separately for balance checks, top-ups, and payments.</w:t>
            </w:r>
          </w:p>
        </w:tc>
      </w:tr>
      <w:tr>
        <w:tc>
          <w:tcPr>
            <w:tcW w:type="dxa" w:w="3408"/>
            <w:vAlign w:val="center"/>
          </w:tcPr>
          <w:p>
            <w:r>
              <w:t>Transaction Integrity</w:t>
            </w:r>
          </w:p>
        </w:tc>
        <w:tc>
          <w:tcPr>
            <w:tcW w:type="dxa" w:w="3408"/>
            <w:vAlign w:val="center"/>
          </w:tcPr>
          <w:p>
            <w:r>
              <w:t>Verify atomic debit/credit outcomes in test cases</w:t>
            </w:r>
          </w:p>
        </w:tc>
        <w:tc>
          <w:tcPr>
            <w:tcW w:type="dxa" w:w="3408"/>
            <w:vAlign w:val="center"/>
          </w:tcPr>
          <w:p>
            <w:r>
              <w:t>A transfer must not leave only one side updated.</w:t>
            </w:r>
          </w:p>
        </w:tc>
      </w:tr>
      <w:tr>
        <w:tc>
          <w:tcPr>
            <w:tcW w:type="dxa" w:w="3408"/>
            <w:vAlign w:val="center"/>
          </w:tcPr>
          <w:p>
            <w:r>
              <w:t>Test Coverage</w:t>
            </w:r>
          </w:p>
        </w:tc>
        <w:tc>
          <w:tcPr>
            <w:tcW w:type="dxa" w:w="3408"/>
            <w:vAlign w:val="center"/>
          </w:tcPr>
          <w:p>
            <w:r>
              <w:t>Executed code or requirements ÷ total measured code or requirements × 100</w:t>
            </w:r>
          </w:p>
        </w:tc>
        <w:tc>
          <w:tcPr>
            <w:tcW w:type="dxa" w:w="3408"/>
            <w:vAlign w:val="center"/>
          </w:tcPr>
          <w:p>
            <w:r>
              <w:t>State clearly whether coverage is code-based or requirement-based.</w:t>
            </w:r>
          </w:p>
        </w:tc>
      </w:tr>
    </w:tbl>
    <w:p/>
    <w:p>
      <w:pPr>
        <w:pStyle w:val="Heading2"/>
      </w:pPr>
      <w:r>
        <w:t>2.5 Metrics Conclusion</w:t>
      </w:r>
    </w:p>
    <w:p>
      <w:r>
        <w:t>The most important metrics for DWMS are transaction integrity, response time, security defects, test coverage, and availability. Maintainability should also be reviewed through complexity, coupling, and cohesion. Actual values should be reported only after implementation and testing.</w:t>
      </w:r>
    </w:p>
    <w:p>
      <w:pPr>
        <w:pStyle w:val="Heading1"/>
      </w:pPr>
      <w:r>
        <w:t>3. Component Analysis</w:t>
      </w:r>
    </w:p>
    <w:p>
      <w:r>
        <w:t>Component analysis divides the system into modules with clear responsibilities and interfaces. The DWMS SRS recommends separating presentation, application/business logic, ledger/data storage, compliance, and external integrations.</w:t>
      </w:r>
    </w:p>
    <w:p>
      <w:pPr>
        <w:pStyle w:val="Heading2"/>
      </w:pPr>
      <w:r>
        <w:t>3.1 Major Components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center"/>
          </w:tcPr>
          <w:p>
            <w:r>
              <w:rPr>
                <w:b/>
                <w:color w:val="FFFFFF"/>
              </w:rPr>
              <w:t>Component</w:t>
            </w:r>
          </w:p>
        </w:tc>
        <w:tc>
          <w:tcPr>
            <w:tcW w:type="dxa" w:w="2556"/>
            <w:shd w:fill="1F4E79"/>
            <w:vAlign w:val="center"/>
          </w:tcPr>
          <w:p>
            <w:r>
              <w:rPr>
                <w:b/>
                <w:color w:val="FFFFFF"/>
              </w:rPr>
              <w:t>Responsibilities</w:t>
            </w:r>
          </w:p>
        </w:tc>
        <w:tc>
          <w:tcPr>
            <w:tcW w:type="dxa" w:w="2556"/>
            <w:shd w:fill="1F4E79"/>
            <w:vAlign w:val="center"/>
          </w:tcPr>
          <w:p>
            <w:r>
              <w:rPr>
                <w:b/>
                <w:color w:val="FFFFFF"/>
              </w:rPr>
              <w:t>Inputs</w:t>
            </w:r>
          </w:p>
        </w:tc>
        <w:tc>
          <w:tcPr>
            <w:tcW w:type="dxa" w:w="2556"/>
            <w:shd w:fill="1F4E79"/>
            <w:vAlign w:val="center"/>
          </w:tcPr>
          <w:p>
            <w:r>
              <w:rPr>
                <w:b/>
                <w:color w:val="FFFFFF"/>
              </w:rPr>
              <w:t>Outputs</w:t>
            </w:r>
          </w:p>
        </w:tc>
      </w:tr>
      <w:tr>
        <w:tc>
          <w:tcPr>
            <w:tcW w:type="dxa" w:w="2556"/>
            <w:vAlign w:val="center"/>
          </w:tcPr>
          <w:p>
            <w:r>
              <w:t>1. User Interface</w:t>
            </w:r>
          </w:p>
        </w:tc>
        <w:tc>
          <w:tcPr>
            <w:tcW w:type="dxa" w:w="2556"/>
            <w:vAlign w:val="center"/>
          </w:tcPr>
          <w:p>
            <w:r>
              <w:t>Web/mobile screens for users, merchants, admins, and compliance officers.</w:t>
            </w:r>
          </w:p>
        </w:tc>
        <w:tc>
          <w:tcPr>
            <w:tcW w:type="dxa" w:w="2556"/>
            <w:vAlign w:val="center"/>
          </w:tcPr>
          <w:p>
            <w:r>
              <w:t>User actions and form data.</w:t>
            </w:r>
          </w:p>
        </w:tc>
        <w:tc>
          <w:tcPr>
            <w:tcW w:type="dxa" w:w="2556"/>
            <w:vAlign w:val="center"/>
          </w:tcPr>
          <w:p>
            <w:r>
              <w:t>API requests and displayed results.</w:t>
            </w:r>
          </w:p>
        </w:tc>
      </w:tr>
      <w:tr>
        <w:tc>
          <w:tcPr>
            <w:tcW w:type="dxa" w:w="2556"/>
            <w:vAlign w:val="center"/>
          </w:tcPr>
          <w:p>
            <w:r>
              <w:t>2. Authentication and User Management</w:t>
            </w:r>
          </w:p>
        </w:tc>
        <w:tc>
          <w:tcPr>
            <w:tcW w:type="dxa" w:w="2556"/>
            <w:vAlign w:val="center"/>
          </w:tcPr>
          <w:p>
            <w:r>
              <w:t>Registration, login, MFA, profiles, sessions, and role-based access.</w:t>
            </w:r>
          </w:p>
        </w:tc>
        <w:tc>
          <w:tcPr>
            <w:tcW w:type="dxa" w:w="2556"/>
            <w:vAlign w:val="center"/>
          </w:tcPr>
          <w:p>
            <w:r>
              <w:t>Credentials, OTP/MFA, profile details.</w:t>
            </w:r>
          </w:p>
        </w:tc>
        <w:tc>
          <w:tcPr>
            <w:tcW w:type="dxa" w:w="2556"/>
            <w:vAlign w:val="center"/>
          </w:tcPr>
          <w:p>
            <w:r>
              <w:t>Authentication status, authorized session, user information.</w:t>
            </w:r>
          </w:p>
        </w:tc>
      </w:tr>
      <w:tr>
        <w:tc>
          <w:tcPr>
            <w:tcW w:type="dxa" w:w="2556"/>
            <w:vAlign w:val="center"/>
          </w:tcPr>
          <w:p>
            <w:r>
              <w:t>3. KYC and Compliance</w:t>
            </w:r>
          </w:p>
        </w:tc>
        <w:tc>
          <w:tcPr>
            <w:tcW w:type="dxa" w:w="2556"/>
            <w:vAlign w:val="center"/>
          </w:tcPr>
          <w:p>
            <w:r>
              <w:t>Identity-document checks, KYC tiering, sanctions screening, and manual-review routing.</w:t>
            </w:r>
          </w:p>
        </w:tc>
        <w:tc>
          <w:tcPr>
            <w:tcW w:type="dxa" w:w="2556"/>
            <w:vAlign w:val="center"/>
          </w:tcPr>
          <w:p>
            <w:r>
              <w:t>Identity documents and screening data.</w:t>
            </w:r>
          </w:p>
        </w:tc>
        <w:tc>
          <w:tcPr>
            <w:tcW w:type="dxa" w:w="2556"/>
            <w:vAlign w:val="center"/>
          </w:tcPr>
          <w:p>
            <w:r>
              <w:t>Verification status, KYC tier, applicable limits, review flags.</w:t>
            </w:r>
          </w:p>
        </w:tc>
      </w:tr>
      <w:tr>
        <w:tc>
          <w:tcPr>
            <w:tcW w:type="dxa" w:w="2556"/>
            <w:vAlign w:val="center"/>
          </w:tcPr>
          <w:p>
            <w:r>
              <w:t>4. Wallet and Linked Accounts</w:t>
            </w:r>
          </w:p>
        </w:tc>
        <w:tc>
          <w:tcPr>
            <w:tcW w:type="dxa" w:w="2556"/>
            <w:vAlign w:val="center"/>
          </w:tcPr>
          <w:p>
            <w:r>
              <w:t>Wallet balance, linked accounts/cards, funding, withdrawal, and wallet status.</w:t>
            </w:r>
          </w:p>
        </w:tc>
        <w:tc>
          <w:tcPr>
            <w:tcW w:type="dxa" w:w="2556"/>
            <w:vAlign w:val="center"/>
          </w:tcPr>
          <w:p>
            <w:r>
              <w:t>Funding/withdrawal requests and balance queries.</w:t>
            </w:r>
          </w:p>
        </w:tc>
        <w:tc>
          <w:tcPr>
            <w:tcW w:type="dxa" w:w="2556"/>
            <w:vAlign w:val="center"/>
          </w:tcPr>
          <w:p>
            <w:r>
              <w:t>Wallet status, balance information, operation result.</w:t>
            </w:r>
          </w:p>
        </w:tc>
      </w:tr>
      <w:tr>
        <w:tc>
          <w:tcPr>
            <w:tcW w:type="dxa" w:w="2556"/>
            <w:vAlign w:val="center"/>
          </w:tcPr>
          <w:p>
            <w:r>
              <w:t>5. Transaction and Payment</w:t>
            </w:r>
          </w:p>
        </w:tc>
        <w:tc>
          <w:tcPr>
            <w:tcW w:type="dxa" w:w="2556"/>
            <w:vAlign w:val="center"/>
          </w:tcPr>
          <w:p>
            <w:r>
              <w:t>P2P transfers, merchant payments, bill payments, transaction references, and history.</w:t>
            </w:r>
          </w:p>
        </w:tc>
        <w:tc>
          <w:tcPr>
            <w:tcW w:type="dxa" w:w="2556"/>
            <w:vAlign w:val="center"/>
          </w:tcPr>
          <w:p>
            <w:r>
              <w:t>Recipient/merchant, amount, authenticated request.</w:t>
            </w:r>
          </w:p>
        </w:tc>
        <w:tc>
          <w:tcPr>
            <w:tcW w:type="dxa" w:w="2556"/>
            <w:vAlign w:val="center"/>
          </w:tcPr>
          <w:p>
            <w:r>
              <w:t>Payment status, ledger entries, transaction history, receipts.</w:t>
            </w:r>
          </w:p>
        </w:tc>
      </w:tr>
      <w:tr>
        <w:tc>
          <w:tcPr>
            <w:tcW w:type="dxa" w:w="2556"/>
            <w:vAlign w:val="center"/>
          </w:tcPr>
          <w:p>
            <w:r>
              <w:t>6. Fraud and Risk Management</w:t>
            </w:r>
          </w:p>
        </w:tc>
        <w:tc>
          <w:tcPr>
            <w:tcW w:type="dxa" w:w="2556"/>
            <w:vAlign w:val="center"/>
          </w:tcPr>
          <w:p>
            <w:r>
              <w:t>Transaction limits, velocity checks, risk scoring, and suspicious-activity flags.</w:t>
            </w:r>
          </w:p>
        </w:tc>
        <w:tc>
          <w:tcPr>
            <w:tcW w:type="dxa" w:w="2556"/>
            <w:vAlign w:val="center"/>
          </w:tcPr>
          <w:p>
            <w:r>
              <w:t>Transaction details, user risk profile, configured rules.</w:t>
            </w:r>
          </w:p>
        </w:tc>
        <w:tc>
          <w:tcPr>
            <w:tcW w:type="dxa" w:w="2556"/>
            <w:vAlign w:val="center"/>
          </w:tcPr>
          <w:p>
            <w:r>
              <w:t>Approve, reject, hold, or compliance-review decision.</w:t>
            </w:r>
          </w:p>
        </w:tc>
      </w:tr>
      <w:tr>
        <w:tc>
          <w:tcPr>
            <w:tcW w:type="dxa" w:w="2556"/>
            <w:vAlign w:val="center"/>
          </w:tcPr>
          <w:p>
            <w:r>
              <w:t>7. Notification</w:t>
            </w:r>
          </w:p>
        </w:tc>
        <w:tc>
          <w:tcPr>
            <w:tcW w:type="dxa" w:w="2556"/>
            <w:vAlign w:val="center"/>
          </w:tcPr>
          <w:p>
            <w:r>
              <w:t>Transaction confirmations, security alerts, KYC updates, and rewards notifications.</w:t>
            </w:r>
          </w:p>
        </w:tc>
        <w:tc>
          <w:tcPr>
            <w:tcW w:type="dxa" w:w="2556"/>
            <w:vAlign w:val="center"/>
          </w:tcPr>
          <w:p>
            <w:r>
              <w:t>Events and notification content.</w:t>
            </w:r>
          </w:p>
        </w:tc>
        <w:tc>
          <w:tcPr>
            <w:tcW w:type="dxa" w:w="2556"/>
            <w:vAlign w:val="center"/>
          </w:tcPr>
          <w:p>
            <w:r>
              <w:t>Email, SMS, or push notifications.</w:t>
            </w:r>
          </w:p>
        </w:tc>
      </w:tr>
      <w:tr>
        <w:tc>
          <w:tcPr>
            <w:tcW w:type="dxa" w:w="2556"/>
            <w:vAlign w:val="center"/>
          </w:tcPr>
          <w:p>
            <w:r>
              <w:t>8. Database and Ledger</w:t>
            </w:r>
          </w:p>
        </w:tc>
        <w:tc>
          <w:tcPr>
            <w:tcW w:type="dxa" w:w="2556"/>
            <w:vAlign w:val="center"/>
          </w:tcPr>
          <w:p>
            <w:r>
              <w:t>Persistent user, wallet, transaction, merchant, KYC, risk, and audit records.</w:t>
            </w:r>
          </w:p>
        </w:tc>
        <w:tc>
          <w:tcPr>
            <w:tcW w:type="dxa" w:w="2556"/>
            <w:vAlign w:val="center"/>
          </w:tcPr>
          <w:p>
            <w:r>
              <w:t>Validated reads and writes from services.</w:t>
            </w:r>
          </w:p>
        </w:tc>
        <w:tc>
          <w:tcPr>
            <w:tcW w:type="dxa" w:w="2556"/>
            <w:vAlign w:val="center"/>
          </w:tcPr>
          <w:p>
            <w:r>
              <w:t>Stored records and retrieved data.</w:t>
            </w:r>
          </w:p>
        </w:tc>
      </w:tr>
      <w:tr>
        <w:tc>
          <w:tcPr>
            <w:tcW w:type="dxa" w:w="2556"/>
            <w:vAlign w:val="center"/>
          </w:tcPr>
          <w:p>
            <w:r>
              <w:t>9. Administration and Reporting</w:t>
            </w:r>
          </w:p>
        </w:tc>
        <w:tc>
          <w:tcPr>
            <w:tcW w:type="dxa" w:w="2556"/>
            <w:vAlign w:val="center"/>
          </w:tcPr>
          <w:p>
            <w:r>
              <w:t>User/merchant management, disputes, compliance oversight, audit review, and analytics.</w:t>
            </w:r>
          </w:p>
        </w:tc>
        <w:tc>
          <w:tcPr>
            <w:tcW w:type="dxa" w:w="2556"/>
            <w:vAlign w:val="center"/>
          </w:tcPr>
          <w:p>
            <w:r>
              <w:t>Administrative actions and report requests.</w:t>
            </w:r>
          </w:p>
        </w:tc>
        <w:tc>
          <w:tcPr>
            <w:tcW w:type="dxa" w:w="2556"/>
            <w:vAlign w:val="center"/>
          </w:tcPr>
          <w:p>
            <w:r>
              <w:t>Reports, alerts, management updates.</w:t>
            </w:r>
          </w:p>
        </w:tc>
      </w:tr>
    </w:tbl>
    <w:p/>
    <w:p>
      <w:pPr>
        <w:pStyle w:val="Heading2"/>
      </w:pPr>
      <w:r>
        <w:t>3.2 Component Dependencies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b/>
                <w:color w:val="FFFFFF"/>
              </w:rPr>
              <w:t>Component</w:t>
            </w:r>
          </w:p>
        </w:tc>
        <w:tc>
          <w:tcPr>
            <w:tcW w:type="dxa" w:w="5112"/>
            <w:shd w:fill="1F4E79"/>
            <w:vAlign w:val="center"/>
          </w:tcPr>
          <w:p>
            <w:r>
              <w:rPr>
                <w:b/>
                <w:color w:val="FFFFFF"/>
              </w:rPr>
              <w:t>Main Dependencies</w:t>
            </w:r>
          </w:p>
        </w:tc>
      </w:tr>
      <w:tr>
        <w:tc>
          <w:tcPr>
            <w:tcW w:type="dxa" w:w="5112"/>
            <w:vAlign w:val="center"/>
          </w:tcPr>
          <w:p>
            <w:r>
              <w:t>User Interface</w:t>
            </w:r>
          </w:p>
        </w:tc>
        <w:tc>
          <w:tcPr>
            <w:tcW w:type="dxa" w:w="5112"/>
            <w:vAlign w:val="center"/>
          </w:tcPr>
          <w:p>
            <w:r>
              <w:t>Backend APIs and authentication.</w:t>
            </w:r>
          </w:p>
        </w:tc>
      </w:tr>
      <w:tr>
        <w:tc>
          <w:tcPr>
            <w:tcW w:type="dxa" w:w="5112"/>
            <w:vAlign w:val="center"/>
          </w:tcPr>
          <w:p>
            <w:r>
              <w:t>Authentication</w:t>
            </w:r>
          </w:p>
        </w:tc>
        <w:tc>
          <w:tcPr>
            <w:tcW w:type="dxa" w:w="5112"/>
            <w:vAlign w:val="center"/>
          </w:tcPr>
          <w:p>
            <w:r>
              <w:t>User database and MFA provider.</w:t>
            </w:r>
          </w:p>
        </w:tc>
      </w:tr>
      <w:tr>
        <w:tc>
          <w:tcPr>
            <w:tcW w:type="dxa" w:w="5112"/>
            <w:vAlign w:val="center"/>
          </w:tcPr>
          <w:p>
            <w:r>
              <w:t>KYC and Compliance</w:t>
            </w:r>
          </w:p>
        </w:tc>
        <w:tc>
          <w:tcPr>
            <w:tcW w:type="dxa" w:w="5112"/>
            <w:vAlign w:val="center"/>
          </w:tcPr>
          <w:p>
            <w:r>
              <w:t>Identity-verification provider, user records, and risk rules.</w:t>
            </w:r>
          </w:p>
        </w:tc>
      </w:tr>
      <w:tr>
        <w:tc>
          <w:tcPr>
            <w:tcW w:type="dxa" w:w="5112"/>
            <w:vAlign w:val="center"/>
          </w:tcPr>
          <w:p>
            <w:r>
              <w:t>Wallet Management</w:t>
            </w:r>
          </w:p>
        </w:tc>
        <w:tc>
          <w:tcPr>
            <w:tcW w:type="dxa" w:w="5112"/>
            <w:vAlign w:val="center"/>
          </w:tcPr>
          <w:p>
            <w:r>
              <w:t>Authentication, KYC status, database/ledger, and payment integrations.</w:t>
            </w:r>
          </w:p>
        </w:tc>
      </w:tr>
      <w:tr>
        <w:tc>
          <w:tcPr>
            <w:tcW w:type="dxa" w:w="5112"/>
            <w:vAlign w:val="center"/>
          </w:tcPr>
          <w:p>
            <w:r>
              <w:t>Transaction Processing</w:t>
            </w:r>
          </w:p>
        </w:tc>
        <w:tc>
          <w:tcPr>
            <w:tcW w:type="dxa" w:w="5112"/>
            <w:vAlign w:val="center"/>
          </w:tcPr>
          <w:p>
            <w:r>
              <w:t>Wallet management, risk checks, merchant records, and ledger.</w:t>
            </w:r>
          </w:p>
        </w:tc>
      </w:tr>
      <w:tr>
        <w:tc>
          <w:tcPr>
            <w:tcW w:type="dxa" w:w="5112"/>
            <w:vAlign w:val="center"/>
          </w:tcPr>
          <w:p>
            <w:r>
              <w:t>Fraud and Risk</w:t>
            </w:r>
          </w:p>
        </w:tc>
        <w:tc>
          <w:tcPr>
            <w:tcW w:type="dxa" w:w="5112"/>
            <w:vAlign w:val="center"/>
          </w:tcPr>
          <w:p>
            <w:r>
              <w:t>Transaction data, risk profiles, and compliance rules.</w:t>
            </w:r>
          </w:p>
        </w:tc>
      </w:tr>
      <w:tr>
        <w:tc>
          <w:tcPr>
            <w:tcW w:type="dxa" w:w="5112"/>
            <w:vAlign w:val="center"/>
          </w:tcPr>
          <w:p>
            <w:r>
              <w:t>Notifications</w:t>
            </w:r>
          </w:p>
        </w:tc>
        <w:tc>
          <w:tcPr>
            <w:tcW w:type="dxa" w:w="5112"/>
            <w:vAlign w:val="center"/>
          </w:tcPr>
          <w:p>
            <w:r>
              <w:t>Transaction/account events and notification provider.</w:t>
            </w:r>
          </w:p>
        </w:tc>
      </w:tr>
      <w:tr>
        <w:tc>
          <w:tcPr>
            <w:tcW w:type="dxa" w:w="5112"/>
            <w:vAlign w:val="center"/>
          </w:tcPr>
          <w:p>
            <w:r>
              <w:t>Administration and Reporting</w:t>
            </w:r>
          </w:p>
        </w:tc>
        <w:tc>
          <w:tcPr>
            <w:tcW w:type="dxa" w:w="5112"/>
            <w:vAlign w:val="center"/>
          </w:tcPr>
          <w:p>
            <w:r>
              <w:t>Transaction records, audit logs, and compliance records.</w:t>
            </w:r>
          </w:p>
        </w:tc>
      </w:tr>
    </w:tbl>
    <w:p/>
    <w:p>
      <w:pPr>
        <w:pStyle w:val="Heading2"/>
      </w:pPr>
      <w:r>
        <w:t>3.3 Example: Peer-to-Peer Transfer</w:t>
      </w:r>
    </w:p>
    <w:p>
      <w:pPr>
        <w:pStyle w:val="ListNumber"/>
      </w:pPr>
      <w:r>
        <w:t>The user enters the recipient and amount in the web or mobile interface.</w:t>
      </w:r>
    </w:p>
    <w:p>
      <w:pPr>
        <w:pStyle w:val="ListNumber"/>
      </w:pPr>
      <w:r>
        <w:t>The backend authenticates the request and validates the recipient.</w:t>
      </w:r>
    </w:p>
    <w:p>
      <w:pPr>
        <w:pStyle w:val="ListNumber"/>
      </w:pPr>
      <w:r>
        <w:t>The system checks KYC tier, wallet status, available balance, transaction limits, and risk rules.</w:t>
      </w:r>
    </w:p>
    <w:p>
      <w:pPr>
        <w:pStyle w:val="ListNumber"/>
      </w:pPr>
      <w:r>
        <w:t>If approved, the transaction service coordinates an atomic debit from the sender and credit to the recipient.</w:t>
      </w:r>
    </w:p>
    <w:p>
      <w:pPr>
        <w:pStyle w:val="ListNumber"/>
      </w:pPr>
      <w:r>
        <w:t>The system records the transaction reference and audit information.</w:t>
      </w:r>
    </w:p>
    <w:p>
      <w:pPr>
        <w:pStyle w:val="ListNumber"/>
      </w:pPr>
      <w:r>
        <w:t>The backend returns the transaction status and triggers notifications to both parties.</w:t>
      </w:r>
    </w:p>
    <w:p>
      <w:r>
        <w:t>Failure handling: if authentication, recipient validation, balance, limits, or risk checks fail, the transaction is rejected or held as appropriate. The system must not leave the sender debited without the corresponding recipient credit.</w:t>
      </w:r>
    </w:p>
    <w:p>
      <w:pPr>
        <w:pStyle w:val="Heading2"/>
      </w:pPr>
      <w:r>
        <w:t>3.4 Component Quality Assessment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b/>
                <w:color w:val="FFFFFF"/>
              </w:rPr>
              <w:t>Quality Attribute</w:t>
            </w:r>
          </w:p>
        </w:tc>
        <w:tc>
          <w:tcPr>
            <w:tcW w:type="dxa" w:w="5112"/>
            <w:shd w:fill="1F4E79"/>
            <w:vAlign w:val="center"/>
          </w:tcPr>
          <w:p>
            <w:r>
              <w:rPr>
                <w:b/>
                <w:color w:val="FFFFFF"/>
              </w:rPr>
              <w:t>Assessment</w:t>
            </w:r>
          </w:p>
        </w:tc>
      </w:tr>
      <w:tr>
        <w:tc>
          <w:tcPr>
            <w:tcW w:type="dxa" w:w="5112"/>
            <w:vAlign w:val="center"/>
          </w:tcPr>
          <w:p>
            <w:r>
              <w:t>Modularity</w:t>
            </w:r>
          </w:p>
        </w:tc>
        <w:tc>
          <w:tcPr>
            <w:tcW w:type="dxa" w:w="5112"/>
            <w:vAlign w:val="center"/>
          </w:tcPr>
          <w:p>
            <w:r>
              <w:t>The proposed services separate major business responsibilities.</w:t>
            </w:r>
          </w:p>
        </w:tc>
      </w:tr>
      <w:tr>
        <w:tc>
          <w:tcPr>
            <w:tcW w:type="dxa" w:w="5112"/>
            <w:vAlign w:val="center"/>
          </w:tcPr>
          <w:p>
            <w:r>
              <w:t>Reusability</w:t>
            </w:r>
          </w:p>
        </w:tc>
        <w:tc>
          <w:tcPr>
            <w:tcW w:type="dxa" w:w="5112"/>
            <w:vAlign w:val="center"/>
          </w:tcPr>
          <w:p>
            <w:r>
              <w:t>Authentication, payment, and notification capabilities can support multiple workflows.</w:t>
            </w:r>
          </w:p>
        </w:tc>
      </w:tr>
      <w:tr>
        <w:tc>
          <w:tcPr>
            <w:tcW w:type="dxa" w:w="5112"/>
            <w:vAlign w:val="center"/>
          </w:tcPr>
          <w:p>
            <w:r>
              <w:t>Maintainability</w:t>
            </w:r>
          </w:p>
        </w:tc>
        <w:tc>
          <w:tcPr>
            <w:tcW w:type="dxa" w:w="5112"/>
            <w:vAlign w:val="center"/>
          </w:tcPr>
          <w:p>
            <w:r>
              <w:t>Separating presentation, business logic, and data access can simplify changes.</w:t>
            </w:r>
          </w:p>
        </w:tc>
      </w:tr>
      <w:tr>
        <w:tc>
          <w:tcPr>
            <w:tcW w:type="dxa" w:w="5112"/>
            <w:vAlign w:val="center"/>
          </w:tcPr>
          <w:p>
            <w:r>
              <w:t>Security</w:t>
            </w:r>
          </w:p>
        </w:tc>
        <w:tc>
          <w:tcPr>
            <w:tcW w:type="dxa" w:w="5112"/>
            <w:vAlign w:val="center"/>
          </w:tcPr>
          <w:p>
            <w:r>
              <w:t>Requires strong authentication, role-based authorization, encryption, tokenization, and risk checks.</w:t>
            </w:r>
          </w:p>
        </w:tc>
      </w:tr>
      <w:tr>
        <w:tc>
          <w:tcPr>
            <w:tcW w:type="dxa" w:w="5112"/>
            <w:vAlign w:val="center"/>
          </w:tcPr>
          <w:p>
            <w:r>
              <w:t>Scalability</w:t>
            </w:r>
          </w:p>
        </w:tc>
        <w:tc>
          <w:tcPr>
            <w:tcW w:type="dxa" w:w="5112"/>
            <w:vAlign w:val="center"/>
          </w:tcPr>
          <w:p>
            <w:r>
              <w:t>Can be improved by scaling API and service workloads according to demand.</w:t>
            </w:r>
          </w:p>
        </w:tc>
      </w:tr>
      <w:tr>
        <w:tc>
          <w:tcPr>
            <w:tcW w:type="dxa" w:w="5112"/>
            <w:vAlign w:val="center"/>
          </w:tcPr>
          <w:p>
            <w:r>
              <w:t>Fault Tolerance</w:t>
            </w:r>
          </w:p>
        </w:tc>
        <w:tc>
          <w:tcPr>
            <w:tcW w:type="dxa" w:w="5112"/>
            <w:vAlign w:val="center"/>
          </w:tcPr>
          <w:p>
            <w:r>
              <w:t>Depends on safe timeout, retry, reversal, and database-failure handling.</w:t>
            </w:r>
          </w:p>
        </w:tc>
      </w:tr>
    </w:tbl>
    <w:p/>
    <w:p>
      <w:pPr>
        <w:pStyle w:val="Heading1"/>
      </w:pPr>
      <w:r>
        <w:t>4. Overall Conclusion</w:t>
      </w:r>
    </w:p>
    <w:p>
      <w:r>
        <w:t>Software metrics provide a way to assess DWMS quality after implementation, while component analysis clarifies the responsibilities and dependencies of its modules. Transaction processing, wallet/ledger management, authentication, and fraud/compliance are especially critical because failures can affect user funds, privacy, and regulatory obligations. The metrics in this document should be treated as proposed evaluation criteria until actual code and test results are available.</w:t>
      </w:r>
    </w:p>
    <w:p>
      <w:pPr>
        <w:pStyle w:val="Heading1"/>
      </w:pPr>
      <w:r>
        <w:t>Source Basis</w:t>
      </w:r>
    </w:p>
    <w:p>
      <w:r>
        <w:t>Primary source: Digital Wallet Management System – Software Requirements Specification, Version 1.0, August 2026. Relevant sections include Functional Requirements, System Architecture, Database Requirements and Data Model, Detailed Process Flows, Business Rules, Security Requirements, Testing and Acceptance Criteria, and Appendix B – Suggested Project Modules.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Digital Wallet Management System | Software Metrics and Component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