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F0F4F8"/>
            <w:tcMar>
              <w:top w:w="80" w:type="dxa"/>
              <w:bottom w:w="80" w:type="dxa"/>
              <w:left w:w="100" w:type="dxa"/>
              <w:right w:w="100" w:type="dxa"/>
            </w:tcMar>
            <w:tcBorders>
              <w:top w:val="single" w:sz="6" w:space="0" w:color="CBD5E1"/>
              <w:bottom w:val="single" w:sz="6" w:space="0" w:color="CBD5E1"/>
              <w:left w:val="single" w:sz="6" w:space="0" w:color="CBD5E1"/>
              <w:right w:val="single" w:sz="6" w:space="0" w:color="CBD5E1"/>
            </w:tcBorders>
          </w:tcPr>
          <w:p>
            <w:r>
              <w:rPr>
                <w:rFonts w:ascii="Arial" w:hAnsi="Arial"/>
                <w:b/>
                <w:color w:val="102C57"/>
                <w:sz w:val="19"/>
              </w:rPr>
              <w:t>Subject Code</w:t>
            </w:r>
          </w:p>
        </w:tc>
        <w:tc>
          <w:tcPr>
            <w:tcW w:type="dxa" w:w="1242"/>
            <w:shd w:fill="F0F4F8"/>
            <w:tcMar>
              <w:top w:w="80" w:type="dxa"/>
              <w:bottom w:w="80" w:type="dxa"/>
              <w:left w:w="100" w:type="dxa"/>
              <w:right w:w="100" w:type="dxa"/>
            </w:tcMar>
            <w:tcBorders>
              <w:top w:val="single" w:sz="6" w:space="0" w:color="CBD5E1"/>
              <w:bottom w:val="single" w:sz="6" w:space="0" w:color="CBD5E1"/>
              <w:left w:val="single" w:sz="6" w:space="0" w:color="CBD5E1"/>
              <w:right w:val="single" w:sz="6" w:space="0" w:color="CBD5E1"/>
            </w:tcBorders>
          </w:tcPr>
          <w:p>
            <w:r>
              <w:rPr>
                <w:rFonts w:ascii="Arial" w:hAnsi="Arial"/>
                <w:b w:val="0"/>
                <w:color w:val="1E1E1E"/>
                <w:sz w:val="19"/>
              </w:rPr>
              <w:t>:</w:t>
            </w:r>
          </w:p>
        </w:tc>
        <w:tc>
          <w:tcPr>
            <w:tcW w:type="dxa" w:w="1242"/>
            <w:shd w:fill="F0F4F8"/>
            <w:tcMar>
              <w:top w:w="80" w:type="dxa"/>
              <w:bottom w:w="80" w:type="dxa"/>
              <w:left w:w="100" w:type="dxa"/>
              <w:right w:w="100" w:type="dxa"/>
            </w:tcMar>
            <w:tcBorders>
              <w:top w:val="single" w:sz="6" w:space="0" w:color="CBD5E1"/>
              <w:bottom w:val="single" w:sz="6" w:space="0" w:color="CBD5E1"/>
              <w:left w:val="single" w:sz="6" w:space="0" w:color="CBD5E1"/>
              <w:right w:val="single" w:sz="6" w:space="0" w:color="CBD5E1"/>
            </w:tcBorders>
          </w:tcPr>
          <w:p>
            <w:r>
              <w:rPr>
                <w:rFonts w:ascii="Arial" w:hAnsi="Arial"/>
                <w:b/>
                <w:color w:val="1E1E1E"/>
                <w:sz w:val="19"/>
              </w:rPr>
              <w:t>CEUE203</w:t>
            </w:r>
          </w:p>
        </w:tc>
        <w:tc>
          <w:tcPr>
            <w:tcW w:type="dxa" w:w="1242"/>
            <w:shd w:fill="F0F4F8"/>
            <w:tcMar>
              <w:top w:w="80" w:type="dxa"/>
              <w:bottom w:w="80" w:type="dxa"/>
              <w:left w:w="100" w:type="dxa"/>
              <w:right w:w="100" w:type="dxa"/>
            </w:tcMar>
            <w:tcBorders>
              <w:top w:val="single" w:sz="6" w:space="0" w:color="CBD5E1"/>
              <w:bottom w:val="single" w:sz="6" w:space="0" w:color="CBD5E1"/>
              <w:left w:val="single" w:sz="6" w:space="0" w:color="CBD5E1"/>
              <w:right w:val="single" w:sz="6" w:space="0" w:color="CBD5E1"/>
            </w:tcBorders>
          </w:tcPr>
          <w:p>
            <w:r>
              <w:rPr>
                <w:rFonts w:ascii="Arial" w:hAnsi="Arial"/>
                <w:b/>
                <w:color w:val="102C57"/>
                <w:sz w:val="19"/>
              </w:rPr>
              <w:t>Semester</w:t>
            </w:r>
          </w:p>
        </w:tc>
        <w:tc>
          <w:tcPr>
            <w:tcW w:type="dxa" w:w="1242"/>
            <w:shd w:fill="F0F4F8"/>
            <w:tcMar>
              <w:top w:w="80" w:type="dxa"/>
              <w:bottom w:w="80" w:type="dxa"/>
              <w:left w:w="100" w:type="dxa"/>
              <w:right w:w="100" w:type="dxa"/>
            </w:tcMar>
            <w:tcBorders>
              <w:top w:val="single" w:sz="6" w:space="0" w:color="CBD5E1"/>
              <w:bottom w:val="single" w:sz="6" w:space="0" w:color="CBD5E1"/>
              <w:left w:val="single" w:sz="6" w:space="0" w:color="CBD5E1"/>
              <w:right w:val="single" w:sz="6" w:space="0" w:color="CBD5E1"/>
            </w:tcBorders>
          </w:tcPr>
          <w:p>
            <w:r>
              <w:rPr>
                <w:rFonts w:ascii="Arial" w:hAnsi="Arial"/>
                <w:b w:val="0"/>
                <w:color w:val="1E1E1E"/>
                <w:sz w:val="19"/>
              </w:rPr>
              <w:t>:</w:t>
            </w:r>
          </w:p>
        </w:tc>
        <w:tc>
          <w:tcPr>
            <w:tcW w:type="dxa" w:w="1242"/>
            <w:shd w:fill="F0F4F8"/>
            <w:tcMar>
              <w:top w:w="80" w:type="dxa"/>
              <w:bottom w:w="80" w:type="dxa"/>
              <w:left w:w="100" w:type="dxa"/>
              <w:right w:w="100" w:type="dxa"/>
            </w:tcMar>
            <w:tcBorders>
              <w:top w:val="single" w:sz="6" w:space="0" w:color="CBD5E1"/>
              <w:bottom w:val="single" w:sz="6" w:space="0" w:color="CBD5E1"/>
              <w:left w:val="single" w:sz="6" w:space="0" w:color="CBD5E1"/>
              <w:right w:val="single" w:sz="6" w:space="0" w:color="CBD5E1"/>
            </w:tcBorders>
          </w:tcPr>
          <w:p>
            <w:r>
              <w:rPr>
                <w:rFonts w:ascii="Arial" w:hAnsi="Arial"/>
                <w:b/>
                <w:color w:val="1E1E1E"/>
                <w:sz w:val="19"/>
              </w:rPr>
              <w:t>3</w:t>
            </w:r>
          </w:p>
        </w:tc>
        <w:tc>
          <w:tcPr>
            <w:tcW w:type="dxa" w:w="1242"/>
            <w:shd w:fill="F0F4F8"/>
            <w:tcMar>
              <w:top w:w="80" w:type="dxa"/>
              <w:bottom w:w="80" w:type="dxa"/>
              <w:left w:w="100" w:type="dxa"/>
              <w:right w:w="100" w:type="dxa"/>
            </w:tcMar>
            <w:tcBorders>
              <w:top w:val="single" w:sz="6" w:space="0" w:color="CBD5E1"/>
              <w:bottom w:val="single" w:sz="6" w:space="0" w:color="CBD5E1"/>
              <w:left w:val="single" w:sz="6" w:space="0" w:color="CBD5E1"/>
              <w:right w:val="single" w:sz="6" w:space="0" w:color="CBD5E1"/>
            </w:tcBorders>
          </w:tcPr>
          <w:p>
            <w:r>
              <w:rPr>
                <w:rFonts w:ascii="Arial" w:hAnsi="Arial"/>
                <w:b/>
                <w:color w:val="102C57"/>
                <w:sz w:val="19"/>
              </w:rPr>
              <w:t>Academic Year</w:t>
            </w:r>
          </w:p>
        </w:tc>
        <w:tc>
          <w:tcPr>
            <w:tcW w:type="dxa" w:w="1242"/>
            <w:shd w:fill="F0F4F8"/>
            <w:tcMar>
              <w:top w:w="80" w:type="dxa"/>
              <w:bottom w:w="80" w:type="dxa"/>
              <w:left w:w="100" w:type="dxa"/>
              <w:right w:w="100" w:type="dxa"/>
            </w:tcMar>
            <w:tcBorders>
              <w:top w:val="single" w:sz="6" w:space="0" w:color="CBD5E1"/>
              <w:bottom w:val="single" w:sz="6" w:space="0" w:color="CBD5E1"/>
              <w:left w:val="single" w:sz="6" w:space="0" w:color="CBD5E1"/>
              <w:right w:val="single" w:sz="6" w:space="0" w:color="CBD5E1"/>
            </w:tcBorders>
          </w:tcPr>
          <w:p>
            <w:r>
              <w:rPr>
                <w:rFonts w:ascii="Arial" w:hAnsi="Arial"/>
                <w:b w:val="0"/>
                <w:color w:val="1E1E1E"/>
                <w:sz w:val="19"/>
              </w:rPr>
              <w:t>: 2026-27</w:t>
            </w:r>
          </w:p>
        </w:tc>
      </w:tr>
      <w:tr>
        <w:tc>
          <w:tcPr>
            <w:tcW w:type="dxa" w:w="1242"/>
            <w:shd w:fill="FFFFFF"/>
            <w:tcMar>
              <w:top w:w="80" w:type="dxa"/>
              <w:bottom w:w="80" w:type="dxa"/>
              <w:left w:w="100" w:type="dxa"/>
              <w:right w:w="100" w:type="dxa"/>
            </w:tcMar>
            <w:tcBorders>
              <w:top w:val="single" w:sz="6" w:space="0" w:color="CBD5E1"/>
              <w:bottom w:val="single" w:sz="6" w:space="0" w:color="CBD5E1"/>
              <w:left w:val="single" w:sz="6" w:space="0" w:color="CBD5E1"/>
              <w:right w:val="single" w:sz="6" w:space="0" w:color="CBD5E1"/>
            </w:tcBorders>
          </w:tcPr>
          <w:p>
            <w:r>
              <w:rPr>
                <w:rFonts w:ascii="Arial" w:hAnsi="Arial"/>
                <w:b/>
                <w:color w:val="102C57"/>
                <w:sz w:val="19"/>
              </w:rPr>
              <w:t>Subject Name</w:t>
            </w:r>
          </w:p>
        </w:tc>
        <w:tc>
          <w:tcPr>
            <w:tcW w:type="dxa" w:w="1242"/>
            <w:shd w:fill="FFFFFF"/>
            <w:tcMar>
              <w:top w:w="80" w:type="dxa"/>
              <w:bottom w:w="80" w:type="dxa"/>
              <w:left w:w="100" w:type="dxa"/>
              <w:right w:w="100" w:type="dxa"/>
            </w:tcMar>
            <w:tcBorders>
              <w:top w:val="single" w:sz="6" w:space="0" w:color="CBD5E1"/>
              <w:bottom w:val="single" w:sz="6" w:space="0" w:color="CBD5E1"/>
              <w:left w:val="single" w:sz="6" w:space="0" w:color="CBD5E1"/>
              <w:right w:val="single" w:sz="6" w:space="0" w:color="CBD5E1"/>
            </w:tcBorders>
          </w:tcPr>
          <w:p>
            <w:r>
              <w:rPr>
                <w:rFonts w:ascii="Arial" w:hAnsi="Arial"/>
                <w:b w:val="0"/>
                <w:color w:val="1E1E1E"/>
                <w:sz w:val="19"/>
              </w:rPr>
              <w:t>:</w:t>
            </w:r>
          </w:p>
        </w:tc>
        <w:tc>
          <w:tcPr>
            <w:tcW w:type="dxa" w:w="7452"/>
            <w:gridSpan w:val="6"/>
            <w:shd w:fill="FFFFFF"/>
            <w:tcMar>
              <w:top w:w="80" w:type="dxa"/>
              <w:bottom w:w="80" w:type="dxa"/>
              <w:left w:w="100" w:type="dxa"/>
              <w:right w:w="100" w:type="dxa"/>
            </w:tcMar>
            <w:tcBorders>
              <w:top w:val="single" w:sz="6" w:space="0" w:color="CBD5E1"/>
              <w:bottom w:val="single" w:sz="6" w:space="0" w:color="CBD5E1"/>
              <w:left w:val="single" w:sz="6" w:space="0" w:color="CBD5E1"/>
              <w:right w:val="single" w:sz="6" w:space="0" w:color="CBD5E1"/>
            </w:tcBorders>
          </w:tcPr>
          <w:p>
            <w:r>
              <w:rPr>
                <w:rFonts w:ascii="Arial" w:hAnsi="Arial"/>
                <w:b w:val="0"/>
                <w:color w:val="1E1E1E"/>
                <w:sz w:val="19"/>
              </w:rPr>
              <w:t>Object-Oriented Programming (Java)</w:t>
            </w:r>
          </w:p>
        </w:tc>
      </w:tr>
    </w:tbl>
    <w:p/>
    <w:p>
      <w:pPr>
        <w:jc w:val="center"/>
      </w:pPr>
      <w:r>
        <w:rPr>
          <w:rFonts w:ascii="Arial" w:hAnsi="Arial"/>
          <w:b/>
          <w:color w:val="102C57"/>
          <w:sz w:val="26"/>
        </w:rPr>
        <w:t>CHAROTAR UNIVERSITY OF SCIENCE AND TECHNOLOGY (CHARUSAT)</w:t>
        <w:br/>
      </w:r>
      <w:r>
        <w:rPr>
          <w:rFonts w:ascii="Arial" w:hAnsi="Arial"/>
          <w:b w:val="0"/>
          <w:color w:val="354056"/>
          <w:sz w:val="21"/>
        </w:rPr>
        <w:t>Chandubhai S. Patel Institute of Technology (CSPIT) — Department of Computer Science &amp; Engineering</w:t>
        <w:br/>
      </w:r>
    </w:p>
    <w:p>
      <w:pPr>
        <w:jc w:val="center"/>
      </w:pPr>
      <w:r>
        <w:rPr>
          <w:rFonts w:ascii="Arial" w:hAnsi="Arial"/>
          <w:b/>
          <w:color w:val="102C57"/>
          <w:sz w:val="36"/>
        </w:rPr>
        <w:t>MINI-PROJECT EVALUATION REPORT</w:t>
        <w:br/>
      </w:r>
      <w:r>
        <w:rPr>
          <w:rFonts w:ascii="Arial" w:hAnsi="Arial"/>
          <w:b/>
          <w:color w:val="B8860B"/>
          <w:sz w:val="26"/>
        </w:rPr>
        <w:t>MiniBank — Enterprise-Grade Object-Oriented Core Banking System</w:t>
      </w:r>
    </w:p>
    <w:tbl>
      <w:tblPr>
        <w:tblW w:type="auto" w:w="0"/>
        <w:jc w:val="center"/>
        <w:tblLook w:firstColumn="1" w:firstRow="1" w:lastColumn="0" w:lastRow="0" w:noHBand="0" w:noVBand="1" w:val="04A0"/>
      </w:tblPr>
      <w:tblGrid>
        <w:gridCol w:w="4968"/>
        <w:gridCol w:w="4968"/>
      </w:tblGrid>
      <w:tr>
        <w:tc>
          <w:tcPr>
            <w:tcW w:type="dxa" w:w="49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r/>
            <w:r>
              <w:rPr>
                <w:b/>
                <w:color w:val="102C57"/>
                <w:sz w:val="19"/>
              </w:rPr>
              <w:t xml:space="preserve">Candidate Name: </w:t>
            </w:r>
            <w:r>
              <w:rPr>
                <w:b/>
                <w:sz w:val="19"/>
              </w:rPr>
              <w:t>Arya Shah</w:t>
            </w:r>
          </w:p>
        </w:tc>
        <w:tc>
          <w:tcPr>
            <w:tcW w:type="dxa" w:w="49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r/>
            <w:r>
              <w:rPr>
                <w:b/>
                <w:color w:val="102C57"/>
                <w:sz w:val="19"/>
              </w:rPr>
              <w:t xml:space="preserve">Student ID / Roll No: </w:t>
            </w:r>
            <w:r>
              <w:rPr>
                <w:b/>
                <w:sz w:val="19"/>
              </w:rPr>
              <w:t>25CE107</w:t>
            </w:r>
          </w:p>
        </w:tc>
      </w:tr>
      <w:tr>
        <w:tc>
          <w:tcPr>
            <w:tcW w:type="dxa" w:w="49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r/>
            <w:r>
              <w:rPr>
                <w:b/>
                <w:color w:val="102C57"/>
                <w:sz w:val="19"/>
              </w:rPr>
              <w:t xml:space="preserve">Course / Branch: </w:t>
            </w:r>
            <w:r>
              <w:rPr>
                <w:sz w:val="19"/>
              </w:rPr>
              <w:t>B.Tech Computer Engineering (Sem 3)</w:t>
            </w:r>
          </w:p>
        </w:tc>
        <w:tc>
          <w:tcPr>
            <w:tcW w:type="dxa" w:w="49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r/>
            <w:r>
              <w:rPr>
                <w:b/>
                <w:color w:val="102C57"/>
                <w:sz w:val="19"/>
              </w:rPr>
              <w:t xml:space="preserve">Course Code / Title: </w:t>
            </w:r>
            <w:r>
              <w:rPr>
                <w:sz w:val="19"/>
              </w:rPr>
              <w:t>CEUE203: Object-Oriented Programming</w:t>
            </w:r>
          </w:p>
        </w:tc>
      </w:tr>
      <w:tr>
        <w:tc>
          <w:tcPr>
            <w:tcW w:type="dxa" w:w="49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r/>
            <w:r>
              <w:rPr>
                <w:b/>
                <w:color w:val="102C57"/>
                <w:sz w:val="19"/>
              </w:rPr>
              <w:t xml:space="preserve">GitHub Repository: </w:t>
            </w:r>
            <w:r>
              <w:rPr>
                <w:b/>
                <w:sz w:val="19"/>
              </w:rPr>
              <w:t>https://github.com/Aryashah1505/oop_java-banking_system-25ce107.git</w:t>
            </w:r>
          </w:p>
        </w:tc>
        <w:tc>
          <w:tcPr>
            <w:tcW w:type="dxa" w:w="49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r/>
            <w:r>
              <w:rPr>
                <w:b/>
                <w:color w:val="102C57"/>
                <w:sz w:val="19"/>
              </w:rPr>
              <w:t xml:space="preserve">Submission Date: </w:t>
            </w:r>
            <w:r>
              <w:rPr>
                <w:sz w:val="19"/>
              </w:rPr>
              <w:t>October 2026</w:t>
            </w:r>
          </w:p>
        </w:tc>
      </w:tr>
    </w:tbl>
    <w:p/>
    <w:p>
      <w:pPr>
        <w:spacing w:before="280" w:after="80"/>
      </w:pPr>
      <w:r>
        <w:rPr>
          <w:rFonts w:ascii="Arial" w:hAnsi="Arial"/>
          <w:b/>
          <w:color w:val="B8860B"/>
          <w:sz w:val="26"/>
        </w:rPr>
        <w:t xml:space="preserve">1. </w:t>
      </w:r>
      <w:r>
        <w:rPr>
          <w:rFonts w:ascii="Arial" w:hAnsi="Arial"/>
          <w:b/>
          <w:color w:val="102C57"/>
          <w:sz w:val="26"/>
        </w:rPr>
        <w:t>EXECUTIVE SUMMARY &amp; PROJECT OBJECTIVES</w:t>
      </w:r>
    </w:p>
    <w:p>
      <w:pPr>
        <w:spacing w:after="160"/>
      </w:pPr>
      <w:r>
        <w:rPr>
          <w:color w:val="CBD5E1"/>
          <w:sz w:val="20"/>
        </w:rPr>
        <w:t>――――――――――――――――――――――――――――――――――――――――――――――――――――――――――</w:t>
      </w:r>
    </w:p>
    <w:p>
      <w:pPr>
        <w:spacing w:after="80" w:line="276" w:lineRule="auto"/>
      </w:pPr>
      <w:r>
        <w:rPr>
          <w:rFonts w:ascii="Arial" w:hAnsi="Arial"/>
          <w:color w:val="1E1E1E"/>
          <w:sz w:val="20"/>
        </w:rPr>
        <w:t>MiniBank is a production-grade, object-oriented console core banking application engineered in Java (JDK 17+). Designed as a comprehensive culmination of the CEUE203 curriculum, MiniBank bridges foundational academic OOP theory with modern software engineering paradigms, including clean architectural layering, relational database persistence (SQLite via JDBC), defensive security with cryptographic PBKDF2 hashing, resilient transactional integrity, and automated unit/integration test suites.</w:t>
      </w:r>
    </w:p>
    <w:p>
      <w:pPr>
        <w:spacing w:after="80" w:line="276" w:lineRule="auto"/>
      </w:pPr>
      <w:r>
        <w:rPr>
          <w:rFonts w:ascii="Arial" w:hAnsi="Arial"/>
          <w:b/>
          <w:color w:val="354056"/>
          <w:sz w:val="20"/>
        </w:rPr>
        <w:t xml:space="preserve">Core Objectives: </w:t>
      </w:r>
      <w:r>
        <w:rPr>
          <w:rFonts w:ascii="Arial" w:hAnsi="Arial"/>
          <w:color w:val="1E1E1E"/>
          <w:sz w:val="20"/>
        </w:rPr>
        <w:t>Primary pedagogical and technical objectives accomplished:</w:t>
      </w:r>
    </w:p>
    <w:p>
      <w:pPr>
        <w:pStyle w:val="ListBullet"/>
        <w:spacing w:after="60" w:line="276" w:lineRule="auto"/>
      </w:pPr>
      <w:r>
        <w:rPr>
          <w:rFonts w:ascii="Arial" w:hAnsi="Arial"/>
          <w:b/>
          <w:color w:val="102C57"/>
          <w:sz w:val="20"/>
        </w:rPr>
        <w:t xml:space="preserve">Object-Oriented Mastery: </w:t>
      </w:r>
      <w:r>
        <w:rPr>
          <w:rFonts w:ascii="Arial" w:hAnsi="Arial"/>
          <w:color w:val="1E1E1E"/>
          <w:sz w:val="20"/>
        </w:rPr>
        <w:t>Strict adherence to encapsulation, abstract inheritance hierarchies, interface-driven contracts, polymorphism, and Java 16+ records/sealed classes.</w:t>
      </w:r>
    </w:p>
    <w:p>
      <w:pPr>
        <w:pStyle w:val="ListBullet"/>
        <w:spacing w:after="60" w:line="276" w:lineRule="auto"/>
      </w:pPr>
      <w:r>
        <w:rPr>
          <w:rFonts w:ascii="Arial" w:hAnsi="Arial"/>
          <w:b/>
          <w:color w:val="102C57"/>
          <w:sz w:val="20"/>
        </w:rPr>
        <w:t xml:space="preserve">ACID Transaction Safety: </w:t>
      </w:r>
      <w:r>
        <w:rPr>
          <w:rFonts w:ascii="Arial" w:hAnsi="Arial"/>
          <w:color w:val="1E1E1E"/>
          <w:sz w:val="20"/>
        </w:rPr>
        <w:t>Zero balance corruption during account-to-account funds transfers, deposit/withdrawal validation, and atomic rollbacks upon failure.</w:t>
      </w:r>
    </w:p>
    <w:p>
      <w:pPr>
        <w:pStyle w:val="ListBullet"/>
        <w:spacing w:after="60" w:line="276" w:lineRule="auto"/>
      </w:pPr>
      <w:r>
        <w:rPr>
          <w:rFonts w:ascii="Arial" w:hAnsi="Arial"/>
          <w:b/>
          <w:color w:val="102C57"/>
          <w:sz w:val="20"/>
        </w:rPr>
        <w:t xml:space="preserve">Dual-Tier Storage Architecture: </w:t>
      </w:r>
      <w:r>
        <w:rPr>
          <w:rFonts w:ascii="Arial" w:hAnsi="Arial"/>
          <w:color w:val="1E1E1E"/>
          <w:sz w:val="20"/>
        </w:rPr>
        <w:t>Seamless operation with relational SQLite persistence, automatic database schema bootstrapping, and automatic migration from legacy serialized binaries (.dat).</w:t>
      </w:r>
    </w:p>
    <w:p>
      <w:pPr>
        <w:pStyle w:val="ListBullet"/>
        <w:spacing w:after="60" w:line="276" w:lineRule="auto"/>
      </w:pPr>
      <w:r>
        <w:rPr>
          <w:rFonts w:ascii="Arial" w:hAnsi="Arial"/>
          <w:b/>
          <w:color w:val="102C57"/>
          <w:sz w:val="20"/>
        </w:rPr>
        <w:t xml:space="preserve">Security &amp; Access Control: </w:t>
      </w:r>
      <w:r>
        <w:rPr>
          <w:rFonts w:ascii="Arial" w:hAnsi="Arial"/>
          <w:color w:val="1E1E1E"/>
          <w:sz w:val="20"/>
        </w:rPr>
        <w:t>Role-Based Access Control (RBAC) separating System Administrators from Customers, PBKDF2 password derivation with cryptographically secure per-user salt, and automated brute-force lockout mechanisms.</w:t>
      </w:r>
    </w:p>
    <w:p>
      <w:pPr>
        <w:pStyle w:val="ListBullet"/>
        <w:spacing w:after="60" w:line="276" w:lineRule="auto"/>
      </w:pPr>
      <w:r>
        <w:rPr>
          <w:rFonts w:ascii="Arial" w:hAnsi="Arial"/>
          <w:b/>
          <w:color w:val="102C57"/>
          <w:sz w:val="20"/>
        </w:rPr>
        <w:t xml:space="preserve">Comprehensive Test Automation: </w:t>
      </w:r>
      <w:r>
        <w:rPr>
          <w:rFonts w:ascii="Arial" w:hAnsi="Arial"/>
          <w:color w:val="1E1E1E"/>
          <w:sz w:val="20"/>
        </w:rPr>
        <w:t>100% build verification achieved with 45 unit and integration tests executed under JUnit 5 and automated via GitHub Actions CI pipeline.</w:t>
      </w:r>
    </w:p>
    <w:p>
      <w:pPr>
        <w:spacing w:before="280" w:after="80"/>
      </w:pPr>
      <w:r>
        <w:rPr>
          <w:rFonts w:ascii="Arial" w:hAnsi="Arial"/>
          <w:b/>
          <w:color w:val="B8860B"/>
          <w:sz w:val="26"/>
        </w:rPr>
        <w:t xml:space="preserve">2. </w:t>
      </w:r>
      <w:r>
        <w:rPr>
          <w:rFonts w:ascii="Arial" w:hAnsi="Arial"/>
          <w:b/>
          <w:color w:val="102C57"/>
          <w:sz w:val="26"/>
        </w:rPr>
        <w:t>SYSTEM ARCHITECTURE &amp; OOP CURRICULUM MAPPING</w:t>
      </w:r>
    </w:p>
    <w:p>
      <w:pPr>
        <w:spacing w:after="160"/>
      </w:pPr>
      <w:r>
        <w:rPr>
          <w:color w:val="CBD5E1"/>
          <w:sz w:val="20"/>
        </w:rPr>
        <w:t>――――――――――――――――――――――――――――――――――――――――――――――――――――――――――</w:t>
      </w:r>
    </w:p>
    <w:p>
      <w:pPr>
        <w:spacing w:after="80" w:line="276" w:lineRule="auto"/>
      </w:pPr>
      <w:r>
        <w:rPr>
          <w:rFonts w:ascii="Arial" w:hAnsi="Arial"/>
          <w:color w:val="1E1E1E"/>
          <w:sz w:val="20"/>
        </w:rPr>
        <w:t>The MiniBank project strictly implements and expands upon all major object-oriented design topics instructed throughout the laboratory sessions:</w:t>
      </w:r>
    </w:p>
    <w:tbl>
      <w:tblPr>
        <w:tblW w:type="auto" w:w="0"/>
        <w:jc w:val="center"/>
        <w:tblLook w:firstColumn="1" w:firstRow="1" w:lastColumn="0" w:lastRow="0" w:noHBand="0" w:noVBand="1" w:val="04A0"/>
      </w:tblPr>
      <w:tblGrid>
        <w:gridCol w:w="3312"/>
        <w:gridCol w:w="3312"/>
        <w:gridCol w:w="3312"/>
      </w:tblGrid>
      <w:tr>
        <w:tc>
          <w:tcPr>
            <w:tcW w:type="dxa" w:w="3312"/>
            <w:shd w:fill="102C57"/>
            <w:tcMar>
              <w:top w:w="100" w:type="dxa"/>
              <w:bottom w:w="100" w:type="dxa"/>
              <w:left w:w="120" w:type="dxa"/>
              <w:right w:w="120" w:type="dxa"/>
            </w:tcMar>
          </w:tcPr>
          <w:p>
            <w:r>
              <w:rPr>
                <w:rFonts w:ascii="Arial" w:hAnsi="Arial"/>
                <w:b/>
                <w:color w:val="FFFFFF"/>
                <w:sz w:val="19"/>
              </w:rPr>
              <w:t>Lab / Topic Module</w:t>
            </w:r>
          </w:p>
        </w:tc>
        <w:tc>
          <w:tcPr>
            <w:tcW w:type="dxa" w:w="3312"/>
            <w:shd w:fill="102C57"/>
            <w:tcMar>
              <w:top w:w="100" w:type="dxa"/>
              <w:bottom w:w="100" w:type="dxa"/>
              <w:left w:w="120" w:type="dxa"/>
              <w:right w:w="120" w:type="dxa"/>
            </w:tcMar>
          </w:tcPr>
          <w:p>
            <w:r>
              <w:rPr>
                <w:rFonts w:ascii="Arial" w:hAnsi="Arial"/>
                <w:b/>
                <w:color w:val="FFFFFF"/>
                <w:sz w:val="19"/>
              </w:rPr>
              <w:t>Core OOP Concept Implemented</w:t>
            </w:r>
          </w:p>
        </w:tc>
        <w:tc>
          <w:tcPr>
            <w:tcW w:type="dxa" w:w="3312"/>
            <w:shd w:fill="102C57"/>
            <w:tcMar>
              <w:top w:w="100" w:type="dxa"/>
              <w:bottom w:w="100" w:type="dxa"/>
              <w:left w:w="120" w:type="dxa"/>
              <w:right w:w="120" w:type="dxa"/>
            </w:tcMar>
          </w:tcPr>
          <w:p>
            <w:r>
              <w:rPr>
                <w:rFonts w:ascii="Arial" w:hAnsi="Arial"/>
                <w:b/>
                <w:color w:val="FFFFFF"/>
                <w:sz w:val="19"/>
              </w:rPr>
              <w:t>MiniBank Source Code Reference</w:t>
            </w:r>
          </w:p>
        </w:tc>
      </w:tr>
      <w:tr>
        <w:tc>
          <w:tcPr>
            <w:tcW w:type="dxa" w:w="331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Arial" w:hAnsi="Arial"/>
                <w:b/>
                <w:color w:val="102C57"/>
                <w:sz w:val="18"/>
              </w:rPr>
              <w:t>Lab 1: Class Fundamentals</w:t>
            </w:r>
          </w:p>
        </w:tc>
        <w:tc>
          <w:tcPr>
            <w:tcW w:type="dxa" w:w="331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Arial" w:hAnsi="Arial"/>
                <w:sz w:val="18"/>
              </w:rPr>
              <w:t>Enums, Java Records, Switch Expressions</w:t>
            </w:r>
          </w:p>
        </w:tc>
        <w:tc>
          <w:tcPr>
            <w:tcW w:type="dxa" w:w="331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ourier New" w:hAnsi="Courier New"/>
                <w:sz w:val="17"/>
              </w:rPr>
              <w:t>BankInfo (Record), MenuOption (Enum), MiniBank.java</w:t>
            </w:r>
          </w:p>
        </w:tc>
      </w:tr>
      <w:tr>
        <w:tc>
          <w:tcPr>
            <w:tcW w:type="dxa" w:w="331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Arial" w:hAnsi="Arial"/>
                <w:b/>
                <w:color w:val="102C57"/>
                <w:sz w:val="18"/>
              </w:rPr>
              <w:t>Lab 2: Encapsulation &amp; Mutability</w:t>
            </w:r>
          </w:p>
        </w:tc>
        <w:tc>
          <w:tcPr>
            <w:tcW w:type="dxa" w:w="331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Arial" w:hAnsi="Arial"/>
                <w:sz w:val="18"/>
              </w:rPr>
              <w:t>Private data hiding, invariants, class counters</w:t>
            </w:r>
          </w:p>
        </w:tc>
        <w:tc>
          <w:tcPr>
            <w:tcW w:type="dxa" w:w="331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ourier New" w:hAnsi="Courier New"/>
                <w:sz w:val="17"/>
              </w:rPr>
              <w:t>Customer.java, Account.java (Thread-safe atomic IDs)</w:t>
            </w:r>
          </w:p>
        </w:tc>
      </w:tr>
      <w:tr>
        <w:tc>
          <w:tcPr>
            <w:tcW w:type="dxa" w:w="331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Arial" w:hAnsi="Arial"/>
                <w:b/>
                <w:color w:val="102C57"/>
                <w:sz w:val="18"/>
              </w:rPr>
              <w:t>Lab 3: Object Contracts &amp; Cloning</w:t>
            </w:r>
          </w:p>
        </w:tc>
        <w:tc>
          <w:tcPr>
            <w:tcW w:type="dxa" w:w="331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Arial" w:hAnsi="Arial"/>
                <w:sz w:val="18"/>
              </w:rPr>
              <w:t>equals(), hashCode(), Deep Cloning, toString()</w:t>
            </w:r>
          </w:p>
        </w:tc>
        <w:tc>
          <w:tcPr>
            <w:tcW w:type="dxa" w:w="331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ourier New" w:hAnsi="Courier New"/>
                <w:sz w:val="17"/>
              </w:rPr>
              <w:t>Customer.clone(), Address.java deep copy, Account equality</w:t>
            </w:r>
          </w:p>
        </w:tc>
      </w:tr>
      <w:tr>
        <w:tc>
          <w:tcPr>
            <w:tcW w:type="dxa" w:w="331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Arial" w:hAnsi="Arial"/>
                <w:b/>
                <w:color w:val="102C57"/>
                <w:sz w:val="18"/>
              </w:rPr>
              <w:t>Lab 4: Validation &amp; Formatting</w:t>
            </w:r>
          </w:p>
        </w:tc>
        <w:tc>
          <w:tcPr>
            <w:tcW w:type="dxa" w:w="331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Arial" w:hAnsi="Arial"/>
                <w:sz w:val="18"/>
              </w:rPr>
              <w:t>Regex validation, StringBuilder, Command Records</w:t>
            </w:r>
          </w:p>
        </w:tc>
        <w:tc>
          <w:tcPr>
            <w:tcW w:type="dxa" w:w="331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ourier New" w:hAnsi="Courier New"/>
                <w:sz w:val="17"/>
              </w:rPr>
              <w:t>Validator.java (IFSC/Phone/Email), StatementFormatter.java</w:t>
            </w:r>
          </w:p>
        </w:tc>
      </w:tr>
      <w:tr>
        <w:tc>
          <w:tcPr>
            <w:tcW w:type="dxa" w:w="331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Arial" w:hAnsi="Arial"/>
                <w:b/>
                <w:color w:val="102C57"/>
                <w:sz w:val="18"/>
              </w:rPr>
              <w:t>Lab 5: Polymorphism &amp; Inheritance</w:t>
            </w:r>
          </w:p>
        </w:tc>
        <w:tc>
          <w:tcPr>
            <w:tcW w:type="dxa" w:w="331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Arial" w:hAnsi="Arial"/>
                <w:sz w:val="18"/>
              </w:rPr>
              <w:t>Abstract base classes, Template Method pattern</w:t>
            </w:r>
          </w:p>
        </w:tc>
        <w:tc>
          <w:tcPr>
            <w:tcW w:type="dxa" w:w="331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ourier New" w:hAnsi="Courier New"/>
                <w:sz w:val="17"/>
              </w:rPr>
              <w:t>Account.java (abstract), SavingsAccount, CurrentAccount, FD</w:t>
            </w:r>
          </w:p>
        </w:tc>
      </w:tr>
      <w:tr>
        <w:tc>
          <w:tcPr>
            <w:tcW w:type="dxa" w:w="331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Arial" w:hAnsi="Arial"/>
                <w:b/>
                <w:color w:val="102C57"/>
                <w:sz w:val="18"/>
              </w:rPr>
              <w:t>Lab 6: Interface Contracts</w:t>
            </w:r>
          </w:p>
        </w:tc>
        <w:tc>
          <w:tcPr>
            <w:tcW w:type="dxa" w:w="331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Arial" w:hAnsi="Arial"/>
                <w:sz w:val="18"/>
              </w:rPr>
              <w:t>Multiple inheritance of type, Default &amp; Functional</w:t>
            </w:r>
          </w:p>
        </w:tc>
        <w:tc>
          <w:tcPr>
            <w:tcW w:type="dxa" w:w="331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ourier New" w:hAnsi="Courier New"/>
                <w:sz w:val="17"/>
              </w:rPr>
              <w:t>Transactable, InterestBearing, WithdrawRule, Premium</w:t>
            </w:r>
          </w:p>
        </w:tc>
      </w:tr>
      <w:tr>
        <w:tc>
          <w:tcPr>
            <w:tcW w:type="dxa" w:w="331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Arial" w:hAnsi="Arial"/>
                <w:b/>
                <w:color w:val="102C57"/>
                <w:sz w:val="18"/>
              </w:rPr>
              <w:t>Lab 7: Custom Annotations &amp; Reflection</w:t>
            </w:r>
          </w:p>
        </w:tc>
        <w:tc>
          <w:tcPr>
            <w:tcW w:type="dxa" w:w="331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Arial" w:hAnsi="Arial"/>
                <w:sz w:val="18"/>
              </w:rPr>
              <w:t>Runtime custom annotations, metadata inspection</w:t>
            </w:r>
          </w:p>
        </w:tc>
        <w:tc>
          <w:tcPr>
            <w:tcW w:type="dxa" w:w="331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ourier New" w:hAnsi="Courier New"/>
                <w:sz w:val="17"/>
              </w:rPr>
              <w:t>AnnotationValidator.java, @Id, @Positive, @MaxLength</w:t>
            </w:r>
          </w:p>
        </w:tc>
      </w:tr>
      <w:tr>
        <w:tc>
          <w:tcPr>
            <w:tcW w:type="dxa" w:w="331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Arial" w:hAnsi="Arial"/>
                <w:b/>
                <w:color w:val="102C57"/>
                <w:sz w:val="18"/>
              </w:rPr>
              <w:t>Lab 8: Exceptions &amp; Persistence</w:t>
            </w:r>
          </w:p>
        </w:tc>
        <w:tc>
          <w:tcPr>
            <w:tcW w:type="dxa" w:w="331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Arial" w:hAnsi="Arial"/>
                <w:sz w:val="18"/>
              </w:rPr>
              <w:t>Custom exception hierarchy, SQLite JDBC, I/O</w:t>
            </w:r>
          </w:p>
        </w:tc>
        <w:tc>
          <w:tcPr>
            <w:tcW w:type="dxa" w:w="331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Courier New" w:hAnsi="Courier New"/>
                <w:sz w:val="17"/>
              </w:rPr>
              <w:t>BankException hierarchy, DatabaseManager, AccountStore</w:t>
            </w:r>
          </w:p>
        </w:tc>
      </w:tr>
    </w:tbl>
    <w:p>
      <w:pPr>
        <w:spacing w:before="280" w:after="80"/>
      </w:pPr>
      <w:r>
        <w:rPr>
          <w:rFonts w:ascii="Arial" w:hAnsi="Arial"/>
          <w:b/>
          <w:color w:val="B8860B"/>
          <w:sz w:val="26"/>
        </w:rPr>
        <w:t xml:space="preserve">3. </w:t>
      </w:r>
      <w:r>
        <w:rPr>
          <w:rFonts w:ascii="Arial" w:hAnsi="Arial"/>
          <w:b/>
          <w:color w:val="102C57"/>
          <w:sz w:val="26"/>
        </w:rPr>
        <w:t>DETAILED MODULE SPECIFICATIONS &amp; BUSINESS RULES</w:t>
      </w:r>
    </w:p>
    <w:p>
      <w:pPr>
        <w:spacing w:after="160"/>
      </w:pPr>
      <w:r>
        <w:rPr>
          <w:color w:val="CBD5E1"/>
          <w:sz w:val="20"/>
        </w:rPr>
        <w:t>――――――――――――――――――――――――――――――――――――――――――――――――――――――――――</w:t>
      </w:r>
    </w:p>
    <w:p>
      <w:pPr>
        <w:spacing w:after="80" w:line="276" w:lineRule="auto"/>
      </w:pPr>
      <w:r>
        <w:rPr>
          <w:rFonts w:ascii="Arial" w:hAnsi="Arial"/>
          <w:b/>
          <w:color w:val="354056"/>
          <w:sz w:val="20"/>
        </w:rPr>
        <w:t xml:space="preserve">1. Specialized Account Hierarchy: </w:t>
      </w:r>
      <w:r>
        <w:rPr>
          <w:rFonts w:ascii="Arial" w:hAnsi="Arial"/>
          <w:color w:val="1E1E1E"/>
          <w:sz w:val="20"/>
        </w:rPr>
        <w:t>MiniBank implements a diverse account hierarchy derived from the abstract Account base class:</w:t>
      </w:r>
    </w:p>
    <w:p>
      <w:pPr>
        <w:pStyle w:val="ListBullet"/>
        <w:spacing w:after="60" w:line="276" w:lineRule="auto"/>
      </w:pPr>
      <w:r>
        <w:rPr>
          <w:rFonts w:ascii="Arial" w:hAnsi="Arial"/>
          <w:b/>
          <w:color w:val="102C57"/>
          <w:sz w:val="20"/>
        </w:rPr>
        <w:t xml:space="preserve">Savings Account (SavingsAccount.java): </w:t>
      </w:r>
      <w:r>
        <w:rPr>
          <w:rFonts w:ascii="Arial" w:hAnsi="Arial"/>
          <w:color w:val="1E1E1E"/>
          <w:sz w:val="20"/>
        </w:rPr>
        <w:t>Maintains strict minimum balance constraint (₹500.00). Accrues 4.0% p.a. compound interest computed with exact monetary precision using BigDecimal.</w:t>
      </w:r>
    </w:p>
    <w:p>
      <w:pPr>
        <w:pStyle w:val="ListBullet"/>
        <w:spacing w:after="60" w:line="276" w:lineRule="auto"/>
      </w:pPr>
      <w:r>
        <w:rPr>
          <w:rFonts w:ascii="Arial" w:hAnsi="Arial"/>
          <w:b/>
          <w:color w:val="102C57"/>
          <w:sz w:val="20"/>
        </w:rPr>
        <w:t xml:space="preserve">Current Account (CurrentAccount.java): </w:t>
      </w:r>
      <w:r>
        <w:rPr>
          <w:rFonts w:ascii="Arial" w:hAnsi="Arial"/>
          <w:color w:val="1E1E1E"/>
          <w:sz w:val="20"/>
        </w:rPr>
        <w:t>Designed for corporate and high-velocity commerce. Incorporates an approved overdraft limit of up to ₹10,000.00 beyond zero balance.</w:t>
      </w:r>
    </w:p>
    <w:p>
      <w:pPr>
        <w:pStyle w:val="ListBullet"/>
        <w:spacing w:after="60" w:line="276" w:lineRule="auto"/>
      </w:pPr>
      <w:r>
        <w:rPr>
          <w:rFonts w:ascii="Arial" w:hAnsi="Arial"/>
          <w:b/>
          <w:color w:val="102C57"/>
          <w:sz w:val="20"/>
        </w:rPr>
        <w:t xml:space="preserve">Fixed Deposit Account (FixedDepositAccount.java): </w:t>
      </w:r>
      <w:r>
        <w:rPr>
          <w:rFonts w:ascii="Arial" w:hAnsi="Arial"/>
          <w:color w:val="1E1E1E"/>
          <w:sz w:val="20"/>
        </w:rPr>
        <w:t>High-yield investment vehicle offering 7.0% p.a. guaranteed interest. Enforces strict withdrawal lockout rules before the contract maturity date.</w:t>
      </w:r>
    </w:p>
    <w:p>
      <w:pPr>
        <w:spacing w:after="80" w:line="276" w:lineRule="auto"/>
      </w:pPr>
      <w:r>
        <w:rPr>
          <w:rFonts w:ascii="Arial" w:hAnsi="Arial"/>
          <w:b/>
          <w:color w:val="354056"/>
          <w:sz w:val="20"/>
        </w:rPr>
        <w:t xml:space="preserve">2. Transaction Processing &amp; Fault Invariance: </w:t>
      </w:r>
      <w:r>
        <w:rPr>
          <w:rFonts w:ascii="Arial" w:hAnsi="Arial"/>
          <w:color w:val="1E1E1E"/>
          <w:sz w:val="20"/>
        </w:rPr>
        <w:t>All monetary movements are governed by robust architectural invariants:</w:t>
      </w:r>
    </w:p>
    <w:p>
      <w:pPr>
        <w:pStyle w:val="ListBullet"/>
        <w:spacing w:after="60" w:line="276" w:lineRule="auto"/>
      </w:pPr>
      <w:r>
        <w:rPr>
          <w:rFonts w:ascii="Arial" w:hAnsi="Arial"/>
          <w:b/>
          <w:color w:val="102C57"/>
          <w:sz w:val="20"/>
        </w:rPr>
        <w:t xml:space="preserve">Atomic Transfer Mechanism: </w:t>
      </w:r>
      <w:r>
        <w:rPr>
          <w:rFonts w:ascii="Arial" w:hAnsi="Arial"/>
          <w:color w:val="1E1E1E"/>
          <w:sz w:val="20"/>
        </w:rPr>
        <w:t>Transfers across accounts are executed under strict transactional isolation. If a destination rejects the credit or the source lacks cleared funds, the operation fails completely with zero balance alteration.</w:t>
      </w:r>
    </w:p>
    <w:p>
      <w:pPr>
        <w:pStyle w:val="ListBullet"/>
        <w:spacing w:after="60" w:line="276" w:lineRule="auto"/>
      </w:pPr>
      <w:r>
        <w:rPr>
          <w:rFonts w:ascii="Arial" w:hAnsi="Arial"/>
          <w:b/>
          <w:color w:val="102C57"/>
          <w:sz w:val="20"/>
        </w:rPr>
        <w:t xml:space="preserve">Defensive Validations: </w:t>
      </w:r>
      <w:r>
        <w:rPr>
          <w:rFonts w:ascii="Arial" w:hAnsi="Arial"/>
          <w:color w:val="1E1E1E"/>
          <w:sz w:val="20"/>
        </w:rPr>
        <w:t>Rejection of zero, negative amounts, self-transfers (fromAccount == toAccount), and transfers from locked accounts.</w:t>
      </w:r>
    </w:p>
    <w:p>
      <w:pPr>
        <w:pStyle w:val="ListBullet"/>
        <w:spacing w:after="60" w:line="276" w:lineRule="auto"/>
      </w:pPr>
      <w:r>
        <w:rPr>
          <w:rFonts w:ascii="Arial" w:hAnsi="Arial"/>
          <w:b/>
          <w:color w:val="102C57"/>
          <w:sz w:val="20"/>
        </w:rPr>
        <w:t xml:space="preserve">Configurable Velocity Limits: </w:t>
      </w:r>
      <w:r>
        <w:rPr>
          <w:rFonts w:ascii="Arial" w:hAnsi="Arial"/>
          <w:color w:val="1E1E1E"/>
          <w:sz w:val="20"/>
        </w:rPr>
        <w:t>Accounts enforce daily transaction caps (default ₹50,000/day) preventing velocity-based fraud.</w:t>
      </w:r>
    </w:p>
    <w:p>
      <w:pPr>
        <w:pStyle w:val="ListBullet"/>
        <w:spacing w:after="60" w:line="276" w:lineRule="auto"/>
      </w:pPr>
      <w:r>
        <w:rPr>
          <w:rFonts w:ascii="Arial" w:hAnsi="Arial"/>
          <w:b/>
          <w:color w:val="102C57"/>
          <w:sz w:val="20"/>
        </w:rPr>
        <w:t xml:space="preserve">Audit Logging: </w:t>
      </w:r>
      <w:r>
        <w:rPr>
          <w:rFonts w:ascii="Arial" w:hAnsi="Arial"/>
          <w:color w:val="1E1E1E"/>
          <w:sz w:val="20"/>
        </w:rPr>
        <w:t>Every transaction creates a permanent immutable record with timestamp, source, target, delta amount, ending balance, and execution status.</w:t>
      </w:r>
    </w:p>
    <w:p>
      <w:pPr>
        <w:spacing w:after="80" w:line="276" w:lineRule="auto"/>
      </w:pPr>
      <w:r>
        <w:rPr>
          <w:rFonts w:ascii="Arial" w:hAnsi="Arial"/>
          <w:b/>
          <w:color w:val="354056"/>
          <w:sz w:val="20"/>
        </w:rPr>
        <w:t xml:space="preserve">3. Cryptographic Security &amp; RBAC: </w:t>
      </w:r>
      <w:r>
        <w:rPr>
          <w:rFonts w:ascii="Arial" w:hAnsi="Arial"/>
          <w:color w:val="1E1E1E"/>
          <w:sz w:val="20"/>
        </w:rPr>
        <w:t>Industrial-strength authentication architecture protecting financial assets:</w:t>
      </w:r>
    </w:p>
    <w:p>
      <w:pPr>
        <w:pStyle w:val="ListBullet"/>
        <w:spacing w:after="60" w:line="276" w:lineRule="auto"/>
      </w:pPr>
      <w:r>
        <w:rPr>
          <w:rFonts w:ascii="Arial" w:hAnsi="Arial"/>
          <w:b/>
          <w:color w:val="102C57"/>
          <w:sz w:val="20"/>
        </w:rPr>
        <w:t xml:space="preserve">PBKDF2 with HMAC-SHA256: </w:t>
      </w:r>
      <w:r>
        <w:rPr>
          <w:rFonts w:ascii="Arial" w:hAnsi="Arial"/>
          <w:color w:val="1E1E1E"/>
          <w:sz w:val="20"/>
        </w:rPr>
        <w:t>Passphrases undergo 65,536 iterations of PBKDF2 key stretching combined with a cryptographically secure 16-byte random salt per user (zero plain text storage).</w:t>
      </w:r>
    </w:p>
    <w:p>
      <w:pPr>
        <w:pStyle w:val="ListBullet"/>
        <w:spacing w:after="60" w:line="276" w:lineRule="auto"/>
      </w:pPr>
      <w:r>
        <w:rPr>
          <w:rFonts w:ascii="Arial" w:hAnsi="Arial"/>
          <w:b/>
          <w:color w:val="102C57"/>
          <w:sz w:val="20"/>
        </w:rPr>
        <w:t xml:space="preserve">Brute-Force Protection: </w:t>
      </w:r>
      <w:r>
        <w:rPr>
          <w:rFonts w:ascii="Arial" w:hAnsi="Arial"/>
          <w:color w:val="1E1E1E"/>
          <w:sz w:val="20"/>
        </w:rPr>
        <w:t>Automatic account lockout triggered immediately after 5 consecutive failed authentication attempts.</w:t>
      </w:r>
    </w:p>
    <w:p>
      <w:pPr>
        <w:pStyle w:val="ListBullet"/>
        <w:spacing w:after="60" w:line="276" w:lineRule="auto"/>
      </w:pPr>
      <w:r>
        <w:rPr>
          <w:rFonts w:ascii="Arial" w:hAnsi="Arial"/>
          <w:b/>
          <w:color w:val="102C57"/>
          <w:sz w:val="20"/>
        </w:rPr>
        <w:t xml:space="preserve">Segregated Role Dashboards: </w:t>
      </w:r>
      <w:r>
        <w:rPr>
          <w:rFonts w:ascii="Arial" w:hAnsi="Arial"/>
          <w:color w:val="1E1E1E"/>
          <w:sz w:val="20"/>
        </w:rPr>
        <w:t>Role-Based Access Control dynamically confines Customers to their respective balances and statements, while empowering Administrators with account lifecycle controls, liquidity oversight, and audit trails.</w:t>
      </w:r>
    </w:p>
    <w:p>
      <w:pPr>
        <w:spacing w:before="280" w:after="80"/>
      </w:pPr>
      <w:r>
        <w:rPr>
          <w:rFonts w:ascii="Arial" w:hAnsi="Arial"/>
          <w:b/>
          <w:color w:val="B8860B"/>
          <w:sz w:val="26"/>
        </w:rPr>
        <w:t xml:space="preserve">4. </w:t>
      </w:r>
      <w:r>
        <w:rPr>
          <w:rFonts w:ascii="Arial" w:hAnsi="Arial"/>
          <w:b/>
          <w:color w:val="102C57"/>
          <w:sz w:val="26"/>
        </w:rPr>
        <w:t>RELATIONAL DATABASE SCHEMA (SQLITE JDBC)</w:t>
      </w:r>
    </w:p>
    <w:p>
      <w:pPr>
        <w:spacing w:after="160"/>
      </w:pPr>
      <w:r>
        <w:rPr>
          <w:color w:val="CBD5E1"/>
          <w:sz w:val="20"/>
        </w:rPr>
        <w:t>――――――――――――――――――――――――――――――――――――――――――――――――――――――――――</w:t>
      </w:r>
    </w:p>
    <w:p>
      <w:pPr>
        <w:spacing w:after="80" w:line="276" w:lineRule="auto"/>
      </w:pPr>
      <w:r>
        <w:rPr>
          <w:rFonts w:ascii="Arial" w:hAnsi="Arial"/>
          <w:color w:val="1E1E1E"/>
          <w:sz w:val="20"/>
        </w:rPr>
        <w:t>The application transitions persistence from fragile file-based serialization to a production-grade relational database powered by SQLite via JDBC (minibank.db).</w:t>
      </w:r>
    </w:p>
    <w:tbl>
      <w:tblPr>
        <w:tblW w:type="auto" w:w="0"/>
        <w:jc w:val="center"/>
        <w:tblLook w:firstColumn="1" w:firstRow="1" w:lastColumn="0" w:lastRow="0" w:noHBand="0" w:noVBand="1" w:val="04A0"/>
      </w:tblPr>
      <w:tblGrid>
        <w:gridCol w:w="3312"/>
        <w:gridCol w:w="3312"/>
        <w:gridCol w:w="3312"/>
      </w:tblGrid>
      <w:tr>
        <w:tc>
          <w:tcPr>
            <w:tcW w:type="dxa" w:w="3312"/>
            <w:shd w:fill="102C57"/>
            <w:tcMar>
              <w:top w:w="90" w:type="dxa"/>
              <w:bottom w:w="90" w:type="dxa"/>
              <w:left w:w="110" w:type="dxa"/>
              <w:right w:w="110" w:type="dxa"/>
            </w:tcMar>
          </w:tcPr>
          <w:p>
            <w:r>
              <w:rPr>
                <w:rFonts w:ascii="Arial" w:hAnsi="Arial"/>
                <w:b/>
                <w:color w:val="FFFFFF"/>
                <w:sz w:val="19"/>
              </w:rPr>
              <w:t>Table Name</w:t>
            </w:r>
          </w:p>
        </w:tc>
        <w:tc>
          <w:tcPr>
            <w:tcW w:type="dxa" w:w="3312"/>
            <w:shd w:fill="102C57"/>
            <w:tcMar>
              <w:top w:w="90" w:type="dxa"/>
              <w:bottom w:w="90" w:type="dxa"/>
              <w:left w:w="110" w:type="dxa"/>
              <w:right w:w="110" w:type="dxa"/>
            </w:tcMar>
          </w:tcPr>
          <w:p>
            <w:r>
              <w:rPr>
                <w:rFonts w:ascii="Arial" w:hAnsi="Arial"/>
                <w:b/>
                <w:color w:val="FFFFFF"/>
                <w:sz w:val="19"/>
              </w:rPr>
              <w:t>Primary / Foreign Keys</w:t>
            </w:r>
          </w:p>
        </w:tc>
        <w:tc>
          <w:tcPr>
            <w:tcW w:type="dxa" w:w="3312"/>
            <w:shd w:fill="102C57"/>
            <w:tcMar>
              <w:top w:w="90" w:type="dxa"/>
              <w:bottom w:w="90" w:type="dxa"/>
              <w:left w:w="110" w:type="dxa"/>
              <w:right w:w="110" w:type="dxa"/>
            </w:tcMar>
          </w:tcPr>
          <w:p>
            <w:r>
              <w:rPr>
                <w:rFonts w:ascii="Arial" w:hAnsi="Arial"/>
                <w:b/>
                <w:color w:val="FFFFFF"/>
                <w:sz w:val="19"/>
              </w:rPr>
              <w:t>Stored Attributes &amp; Invariants</w:t>
            </w:r>
          </w:p>
        </w:tc>
      </w:tr>
      <w:tr>
        <w:tc>
          <w:tcPr>
            <w:tcW w:type="dxa" w:w="331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Arial" w:hAnsi="Arial"/>
                <w:b/>
                <w:color w:val="102C57"/>
                <w:sz w:val="18"/>
              </w:rPr>
              <w:t>customers</w:t>
            </w:r>
          </w:p>
        </w:tc>
        <w:tc>
          <w:tcPr>
            <w:tcW w:type="dxa" w:w="331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Arial" w:hAnsi="Arial"/>
                <w:sz w:val="18"/>
              </w:rPr>
              <w:t>PK: customer_id (INTEGER)</w:t>
            </w:r>
          </w:p>
        </w:tc>
        <w:tc>
          <w:tcPr>
            <w:tcW w:type="dxa" w:w="331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Arial" w:hAnsi="Arial"/>
                <w:sz w:val="18"/>
              </w:rPr>
              <w:t>name, email (UNIQUE), phone, street, city, state, zip_code</w:t>
            </w:r>
          </w:p>
        </w:tc>
      </w:tr>
      <w:tr>
        <w:tc>
          <w:tcPr>
            <w:tcW w:type="dxa" w:w="331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Arial" w:hAnsi="Arial"/>
                <w:b/>
                <w:color w:val="102C57"/>
                <w:sz w:val="18"/>
              </w:rPr>
              <w:t>accounts</w:t>
            </w:r>
          </w:p>
        </w:tc>
        <w:tc>
          <w:tcPr>
            <w:tcW w:type="dxa" w:w="331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Arial" w:hAnsi="Arial"/>
                <w:sz w:val="18"/>
              </w:rPr>
              <w:t>PK: account_id (INTEGER), FK: customer_id</w:t>
            </w:r>
          </w:p>
        </w:tc>
        <w:tc>
          <w:tcPr>
            <w:tcW w:type="dxa" w:w="331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Arial" w:hAnsi="Arial"/>
                <w:sz w:val="18"/>
              </w:rPr>
              <w:t>account_number (UNIQUE), account_type, balance, min_balance/overdraft/maturity, is_locked, daily_limit</w:t>
            </w:r>
          </w:p>
        </w:tc>
      </w:tr>
      <w:tr>
        <w:tc>
          <w:tcPr>
            <w:tcW w:type="dxa" w:w="331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Arial" w:hAnsi="Arial"/>
                <w:b/>
                <w:color w:val="102C57"/>
                <w:sz w:val="18"/>
              </w:rPr>
              <w:t>transactions</w:t>
            </w:r>
          </w:p>
        </w:tc>
        <w:tc>
          <w:tcPr>
            <w:tcW w:type="dxa" w:w="331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Arial" w:hAnsi="Arial"/>
                <w:sz w:val="18"/>
              </w:rPr>
              <w:t>PK: transaction_id (INTEGER), FK: account_id</w:t>
            </w:r>
          </w:p>
        </w:tc>
        <w:tc>
          <w:tcPr>
            <w:tcW w:type="dxa" w:w="3312"/>
            <w:shd w:fill="F8FAFC"/>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Arial" w:hAnsi="Arial"/>
                <w:sz w:val="18"/>
              </w:rPr>
              <w:t>timestamp, type (DEPOSIT/WITHDRAW/TRANSFER), amount, balance_after, status</w:t>
            </w:r>
          </w:p>
        </w:tc>
      </w:tr>
      <w:tr>
        <w:tc>
          <w:tcPr>
            <w:tcW w:type="dxa" w:w="331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Arial" w:hAnsi="Arial"/>
                <w:b/>
                <w:color w:val="102C57"/>
                <w:sz w:val="18"/>
              </w:rPr>
              <w:t>users</w:t>
            </w:r>
          </w:p>
        </w:tc>
        <w:tc>
          <w:tcPr>
            <w:tcW w:type="dxa" w:w="331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Arial" w:hAnsi="Arial"/>
                <w:sz w:val="18"/>
              </w:rPr>
              <w:t>PK: username (VARCHAR)</w:t>
            </w:r>
          </w:p>
        </w:tc>
        <w:tc>
          <w:tcPr>
            <w:tcW w:type="dxa" w:w="3312"/>
            <w:shd w:fill="FFFFFF"/>
            <w:tcMar>
              <w:top w:w="80" w:type="dxa"/>
              <w:bottom w:w="80" w:type="dxa"/>
              <w:left w:w="100" w:type="dxa"/>
              <w:right w:w="100" w:type="dxa"/>
            </w:tcMar>
            <w:tcBorders>
              <w:top w:val="single" w:sz="4" w:space="0" w:color="CBD5E1"/>
              <w:bottom w:val="single" w:sz="4" w:space="0" w:color="CBD5E1"/>
              <w:left w:val="single" w:sz="4" w:space="0" w:color="CBD5E1"/>
              <w:right w:val="single" w:sz="4" w:space="0" w:color="CBD5E1"/>
            </w:tcBorders>
          </w:tcPr>
          <w:p>
            <w:r>
              <w:rPr>
                <w:rFonts w:ascii="Arial" w:hAnsi="Arial"/>
                <w:sz w:val="18"/>
              </w:rPr>
              <w:t>password_hash (PBKDF2), salt (HEX), role (ADMIN/CUSTOMER), FK: customer_id, failed_attempts, is_locked</w:t>
            </w:r>
          </w:p>
        </w:tc>
      </w:tr>
    </w:tbl>
    <w:p>
      <w:pPr>
        <w:spacing w:before="280" w:after="80"/>
      </w:pPr>
      <w:r>
        <w:rPr>
          <w:rFonts w:ascii="Arial" w:hAnsi="Arial"/>
          <w:b/>
          <w:color w:val="B8860B"/>
          <w:sz w:val="26"/>
        </w:rPr>
        <w:t xml:space="preserve">5. </w:t>
      </w:r>
      <w:r>
        <w:rPr>
          <w:rFonts w:ascii="Arial" w:hAnsi="Arial"/>
          <w:b/>
          <w:color w:val="102C57"/>
          <w:sz w:val="26"/>
        </w:rPr>
        <w:t>TESTING STRATEGY &amp; VERIFICATION EVIDENCE</w:t>
      </w:r>
    </w:p>
    <w:p>
      <w:pPr>
        <w:spacing w:after="160"/>
      </w:pPr>
      <w:r>
        <w:rPr>
          <w:color w:val="CBD5E1"/>
          <w:sz w:val="20"/>
        </w:rPr>
        <w:t>――――――――――――――――――――――――――――――――――――――――――――――――――――――――――</w:t>
      </w:r>
    </w:p>
    <w:p>
      <w:pPr>
        <w:spacing w:after="80" w:line="276" w:lineRule="auto"/>
      </w:pPr>
      <w:r>
        <w:rPr>
          <w:rFonts w:ascii="Arial" w:hAnsi="Arial"/>
          <w:color w:val="1E1E1E"/>
          <w:sz w:val="20"/>
        </w:rPr>
        <w:t>MiniBank follows a test-driven development (TDD) ethos. The automated test suite encompasses 45 discrete unit and integration test assertions spanning all business logic scenarios, negative edge cases, and stress conditions.</w:t>
      </w:r>
    </w:p>
    <w:p>
      <w:pPr>
        <w:spacing w:after="80" w:line="276" w:lineRule="auto"/>
      </w:pPr>
      <w:r>
        <w:rPr>
          <w:rFonts w:ascii="Arial" w:hAnsi="Arial"/>
          <w:b/>
          <w:color w:val="354056"/>
          <w:sz w:val="20"/>
        </w:rPr>
        <w:t xml:space="preserve">Automated Test Suite Summary: </w:t>
      </w:r>
      <w:r>
        <w:rPr>
          <w:rFonts w:ascii="Arial" w:hAnsi="Arial"/>
          <w:color w:val="1E1E1E"/>
          <w:sz w:val="20"/>
        </w:rPr>
        <w:t>Comprehensive Test Coverage Breakdown:</w:t>
      </w:r>
    </w:p>
    <w:p>
      <w:pPr>
        <w:pStyle w:val="ListBullet"/>
        <w:spacing w:after="60" w:line="276" w:lineRule="auto"/>
      </w:pPr>
      <w:r>
        <w:rPr>
          <w:rFonts w:ascii="Arial" w:hAnsi="Arial"/>
          <w:b/>
          <w:color w:val="102C57"/>
          <w:sz w:val="20"/>
        </w:rPr>
        <w:t xml:space="preserve">MiniBankTest.java (34 Tests): </w:t>
      </w:r>
      <w:r>
        <w:rPr>
          <w:rFonts w:ascii="Arial" w:hAnsi="Arial"/>
          <w:color w:val="1E1E1E"/>
          <w:sz w:val="20"/>
        </w:rPr>
        <w:t>Validates core domain objects, customer deep cloning, regex pattern validators, account deposit/withdraw rules, overdraft limits, interest accrual, custom reflection-based annotation validators, and CSV export functionality.</w:t>
      </w:r>
    </w:p>
    <w:p>
      <w:pPr>
        <w:pStyle w:val="ListBullet"/>
        <w:spacing w:after="60" w:line="276" w:lineRule="auto"/>
      </w:pPr>
      <w:r>
        <w:rPr>
          <w:rFonts w:ascii="Arial" w:hAnsi="Arial"/>
          <w:b/>
          <w:color w:val="102C57"/>
          <w:sz w:val="20"/>
        </w:rPr>
        <w:t xml:space="preserve">EnhancedBankingTest.java (11 Tests): </w:t>
      </w:r>
      <w:r>
        <w:rPr>
          <w:rFonts w:ascii="Arial" w:hAnsi="Arial"/>
          <w:color w:val="1E1E1E"/>
          <w:sz w:val="20"/>
        </w:rPr>
        <w:t>End-to-end integration tests verifying atomic multi-account transfers, velocity daily limit enforcement, administrative account locking/unlocking, and SQLite relational persistence consistency.</w:t>
      </w:r>
    </w:p>
    <w:p>
      <w:pPr>
        <w:spacing w:before="120" w:after="120"/>
      </w:pPr>
    </w:p>
    <w:tbl>
      <w:tblPr>
        <w:tblW w:type="auto" w:w="0"/>
        <w:jc w:val="center"/>
        <w:tblLook w:firstColumn="1" w:firstRow="1" w:lastColumn="0" w:lastRow="0" w:noHBand="0" w:noVBand="1" w:val="04A0"/>
      </w:tblPr>
      <w:tblGrid>
        <w:gridCol w:w="9936"/>
      </w:tblGrid>
      <w:tr>
        <w:tc>
          <w:tcPr>
            <w:tcW w:type="dxa" w:w="9936"/>
            <w:shd w:fill="1E293B"/>
            <w:tcMar>
              <w:top w:w="120" w:type="dxa"/>
              <w:bottom w:w="120" w:type="dxa"/>
              <w:left w:w="160" w:type="dxa"/>
              <w:right w:w="160" w:type="dxa"/>
            </w:tcMar>
            <w:tcBorders>
              <w:top w:val="single" w:sz="8" w:space="0" w:color="0F172A"/>
              <w:bottom w:val="single" w:sz="8" w:space="0" w:color="0F172A"/>
              <w:left w:val="single" w:sz="8" w:space="0" w:color="0F172A"/>
              <w:right w:val="single" w:sz="8" w:space="0" w:color="0F172A"/>
            </w:tcBorders>
          </w:tcPr>
          <w:p>
            <w:r/>
          </w:p>
          <w:p>
            <w:pPr>
              <w:spacing w:after="20" w:line="240" w:lineRule="auto"/>
            </w:pPr>
            <w:r>
              <w:rPr>
                <w:rFonts w:ascii="Courier New" w:hAnsi="Courier New"/>
                <w:color w:val="E2E8F0"/>
                <w:sz w:val="17"/>
              </w:rPr>
              <w:t>[INFO] -------------------------------------------------------</w:t>
            </w:r>
          </w:p>
          <w:p>
            <w:pPr>
              <w:spacing w:after="20" w:line="240" w:lineRule="auto"/>
            </w:pPr>
            <w:r>
              <w:rPr>
                <w:rFonts w:ascii="Courier New" w:hAnsi="Courier New"/>
                <w:color w:val="E2E8F0"/>
                <w:sz w:val="17"/>
              </w:rPr>
              <w:t>[INFO]  M I N I B A N K   A U T O M A T E D   T E S T   R U N</w:t>
            </w:r>
          </w:p>
          <w:p>
            <w:pPr>
              <w:spacing w:after="20" w:line="240" w:lineRule="auto"/>
            </w:pPr>
            <w:r>
              <w:rPr>
                <w:rFonts w:ascii="Courier New" w:hAnsi="Courier New"/>
                <w:color w:val="E2E8F0"/>
                <w:sz w:val="17"/>
              </w:rPr>
              <w:t>[INFO] -------------------------------------------------------</w:t>
            </w:r>
          </w:p>
          <w:p>
            <w:pPr>
              <w:spacing w:after="20" w:line="240" w:lineRule="auto"/>
            </w:pPr>
            <w:r>
              <w:rPr>
                <w:rFonts w:ascii="Courier New" w:hAnsi="Courier New"/>
                <w:color w:val="E2E8F0"/>
                <w:sz w:val="17"/>
              </w:rPr>
              <w:t>[INFO] Running EnhancedBankingTest</w:t>
            </w:r>
          </w:p>
          <w:p>
            <w:pPr>
              <w:spacing w:after="20" w:line="240" w:lineRule="auto"/>
            </w:pPr>
            <w:r>
              <w:rPr>
                <w:rFonts w:ascii="Courier New" w:hAnsi="Courier New"/>
                <w:color w:val="E2E8F0"/>
                <w:sz w:val="17"/>
              </w:rPr>
              <w:t>Deposited 1200.00 -&gt; ACC002001. Balance: 6200.00</w:t>
            </w:r>
          </w:p>
          <w:p>
            <w:pPr>
              <w:spacing w:after="20" w:line="240" w:lineRule="auto"/>
            </w:pPr>
            <w:r>
              <w:rPr>
                <w:rFonts w:ascii="Courier New" w:hAnsi="Courier New"/>
                <w:color w:val="E2E8F0"/>
                <w:sz w:val="17"/>
              </w:rPr>
              <w:t>Withdrew 300.00 &lt;- ACC002001. Balance: 5900.00</w:t>
            </w:r>
          </w:p>
          <w:p>
            <w:pPr>
              <w:spacing w:after="20" w:line="240" w:lineRule="auto"/>
            </w:pPr>
            <w:r>
              <w:rPr>
                <w:rFonts w:ascii="Courier New" w:hAnsi="Courier New"/>
                <w:color w:val="E2E8F0"/>
                <w:sz w:val="17"/>
              </w:rPr>
              <w:t>Account ACC002007 has been LOCKED.</w:t>
            </w:r>
          </w:p>
          <w:p>
            <w:pPr>
              <w:spacing w:after="20" w:line="240" w:lineRule="auto"/>
            </w:pPr>
            <w:r>
              <w:rPr>
                <w:rFonts w:ascii="Courier New" w:hAnsi="Courier New"/>
                <w:color w:val="E2E8F0"/>
                <w:sz w:val="17"/>
              </w:rPr>
              <w:t>Account ACC002007 has been UNLOCKED.</w:t>
            </w:r>
          </w:p>
          <w:p>
            <w:pPr>
              <w:spacing w:after="20" w:line="240" w:lineRule="auto"/>
            </w:pPr>
            <w:r>
              <w:rPr>
                <w:rFonts w:ascii="Courier New" w:hAnsi="Courier New"/>
                <w:color w:val="E2E8F0"/>
                <w:sz w:val="17"/>
              </w:rPr>
              <w:t>Transferred 1000.00 from ACC002015 -&gt; ACC002016</w:t>
            </w:r>
          </w:p>
          <w:p>
            <w:pPr>
              <w:spacing w:after="20" w:line="240" w:lineRule="auto"/>
            </w:pPr>
            <w:r>
              <w:rPr>
                <w:rFonts w:ascii="Courier New" w:hAnsi="Courier New"/>
                <w:color w:val="E2E8F0"/>
                <w:sz w:val="17"/>
              </w:rPr>
              <w:t>[INFO] Tests run: 11, Failures: 0, Errors: 0, Skipped: 0 -- in EnhancedBankingTest</w:t>
            </w:r>
          </w:p>
          <w:p>
            <w:pPr>
              <w:spacing w:after="20" w:line="240" w:lineRule="auto"/>
            </w:pPr>
            <w:r>
              <w:rPr>
                <w:rFonts w:ascii="Courier New" w:hAnsi="Courier New"/>
                <w:color w:val="E2E8F0"/>
                <w:sz w:val="17"/>
              </w:rPr>
              <w:t>[INFO] Running MiniBankTest</w:t>
            </w:r>
          </w:p>
          <w:p>
            <w:pPr>
              <w:spacing w:after="20" w:line="240" w:lineRule="auto"/>
            </w:pPr>
            <w:r>
              <w:rPr>
                <w:rFonts w:ascii="Courier New" w:hAnsi="Courier New"/>
                <w:color w:val="E2E8F0"/>
                <w:sz w:val="17"/>
              </w:rPr>
              <w:t>Transferred 2000.00 from ACC002030 -&gt; ACC002031</w:t>
            </w:r>
          </w:p>
          <w:p>
            <w:pPr>
              <w:spacing w:after="20" w:line="240" w:lineRule="auto"/>
            </w:pPr>
            <w:r>
              <w:rPr>
                <w:rFonts w:ascii="Courier New" w:hAnsi="Courier New"/>
                <w:color w:val="E2E8F0"/>
                <w:sz w:val="17"/>
              </w:rPr>
              <w:t>Interest applied: 400.00. New balance: 10400.00</w:t>
            </w:r>
          </w:p>
          <w:p>
            <w:pPr>
              <w:spacing w:after="20" w:line="240" w:lineRule="auto"/>
            </w:pPr>
            <w:r>
              <w:rPr>
                <w:rFonts w:ascii="Courier New" w:hAnsi="Courier New"/>
                <w:color w:val="E2E8F0"/>
                <w:sz w:val="17"/>
              </w:rPr>
              <w:t>[INFO] Tests run: 34, Failures: 0, Errors: 0, Skipped: 0 -- in MiniBankTest</w:t>
            </w:r>
          </w:p>
          <w:p>
            <w:pPr>
              <w:spacing w:after="20" w:line="240" w:lineRule="auto"/>
            </w:pPr>
            <w:r>
              <w:rPr>
                <w:rFonts w:ascii="Courier New" w:hAnsi="Courier New"/>
                <w:color w:val="E2E8F0"/>
                <w:sz w:val="17"/>
              </w:rPr>
              <w:t xml:space="preserve">[INFO] </w:t>
            </w:r>
          </w:p>
          <w:p>
            <w:pPr>
              <w:spacing w:after="20" w:line="240" w:lineRule="auto"/>
            </w:pPr>
            <w:r>
              <w:rPr>
                <w:rFonts w:ascii="Courier New" w:hAnsi="Courier New"/>
                <w:b/>
                <w:color w:val="38BDF8"/>
                <w:sz w:val="17"/>
              </w:rPr>
              <w:t>[INFO] Results: Tests run: 45, Failures: 0, Errors: 0, Skipped: 0</w:t>
            </w:r>
          </w:p>
          <w:p>
            <w:pPr>
              <w:spacing w:after="20" w:line="240" w:lineRule="auto"/>
            </w:pPr>
            <w:r>
              <w:rPr>
                <w:rFonts w:ascii="Courier New" w:hAnsi="Courier New"/>
                <w:color w:val="E2E8F0"/>
                <w:sz w:val="17"/>
              </w:rPr>
              <w:t>[INFO] ------------------------------------------------------------------------</w:t>
            </w:r>
          </w:p>
          <w:p>
            <w:pPr>
              <w:spacing w:after="20" w:line="240" w:lineRule="auto"/>
            </w:pPr>
            <w:r>
              <w:rPr>
                <w:rFonts w:ascii="Courier New" w:hAnsi="Courier New"/>
                <w:b/>
                <w:color w:val="4ADE80"/>
                <w:sz w:val="17"/>
              </w:rPr>
              <w:t>[INFO] BUILD SUCCESS (Total time: 1.391 s)</w:t>
            </w:r>
          </w:p>
          <w:p>
            <w:pPr>
              <w:spacing w:after="20" w:line="240" w:lineRule="auto"/>
            </w:pPr>
            <w:r>
              <w:rPr>
                <w:rFonts w:ascii="Courier New" w:hAnsi="Courier New"/>
                <w:color w:val="E2E8F0"/>
                <w:sz w:val="17"/>
              </w:rPr>
              <w:t>[INFO] ------------------------------------------------------------------------</w:t>
            </w:r>
          </w:p>
        </w:tc>
      </w:tr>
    </w:tbl>
    <w:p>
      <w:pPr>
        <w:spacing w:before="280" w:after="80"/>
      </w:pPr>
      <w:r>
        <w:rPr>
          <w:rFonts w:ascii="Arial" w:hAnsi="Arial"/>
          <w:b/>
          <w:color w:val="B8860B"/>
          <w:sz w:val="26"/>
        </w:rPr>
        <w:t xml:space="preserve">6. </w:t>
      </w:r>
      <w:r>
        <w:rPr>
          <w:rFonts w:ascii="Arial" w:hAnsi="Arial"/>
          <w:b/>
          <w:color w:val="102C57"/>
          <w:sz w:val="26"/>
        </w:rPr>
        <w:t>CONCLUSION &amp; SUBMISSION CHECKLIST</w:t>
      </w:r>
    </w:p>
    <w:p>
      <w:pPr>
        <w:spacing w:after="160"/>
      </w:pPr>
      <w:r>
        <w:rPr>
          <w:color w:val="CBD5E1"/>
          <w:sz w:val="20"/>
        </w:rPr>
        <w:t>――――――――――――――――――――――――――――――――――――――――――――――――――――――――――</w:t>
      </w:r>
    </w:p>
    <w:p>
      <w:pPr>
        <w:spacing w:after="80" w:line="276" w:lineRule="auto"/>
      </w:pPr>
      <w:r>
        <w:rPr>
          <w:rFonts w:ascii="Arial" w:hAnsi="Arial"/>
          <w:color w:val="1E1E1E"/>
          <w:sz w:val="20"/>
        </w:rPr>
        <w:t>The MiniBank project satisfies and exceeds the requirements for the CEUE203 Object-Oriented Programming curriculum. It models a complete, enterprise-ready banking engine upholding rigorous standards of object encapsulation, relational data integrity, and software quality assurance.</w:t>
      </w:r>
    </w:p>
    <w:tbl>
      <w:tblPr>
        <w:tblW w:type="auto" w:w="0"/>
        <w:jc w:val="center"/>
        <w:tblLook w:firstColumn="1" w:firstRow="1" w:lastColumn="0" w:lastRow="0" w:noHBand="0" w:noVBand="1" w:val="04A0"/>
      </w:tblPr>
      <w:tblGrid>
        <w:gridCol w:w="3312"/>
        <w:gridCol w:w="3312"/>
        <w:gridCol w:w="3312"/>
      </w:tblGrid>
      <w:tr>
        <w:tc>
          <w:tcPr>
            <w:tcW w:type="dxa" w:w="3312"/>
            <w:shd w:fill="102C57"/>
            <w:tcMar>
              <w:top w:w="80" w:type="dxa"/>
              <w:bottom w:w="80" w:type="dxa"/>
              <w:left w:w="100" w:type="dxa"/>
              <w:right w:w="100" w:type="dxa"/>
            </w:tcMar>
          </w:tcPr>
          <w:p>
            <w:r>
              <w:rPr>
                <w:rFonts w:ascii="Arial" w:hAnsi="Arial"/>
                <w:b/>
                <w:color w:val="FFFFFF"/>
                <w:sz w:val="19"/>
              </w:rPr>
              <w:t>Artifact / Requirement</w:t>
            </w:r>
          </w:p>
        </w:tc>
        <w:tc>
          <w:tcPr>
            <w:tcW w:type="dxa" w:w="3312"/>
            <w:shd w:fill="102C57"/>
            <w:tcMar>
              <w:top w:w="80" w:type="dxa"/>
              <w:bottom w:w="80" w:type="dxa"/>
              <w:left w:w="100" w:type="dxa"/>
              <w:right w:w="100" w:type="dxa"/>
            </w:tcMar>
          </w:tcPr>
          <w:p>
            <w:r>
              <w:rPr>
                <w:rFonts w:ascii="Arial" w:hAnsi="Arial"/>
                <w:b/>
                <w:color w:val="FFFFFF"/>
                <w:sz w:val="19"/>
              </w:rPr>
              <w:t>File / Location</w:t>
            </w:r>
          </w:p>
        </w:tc>
        <w:tc>
          <w:tcPr>
            <w:tcW w:type="dxa" w:w="3312"/>
            <w:shd w:fill="102C57"/>
            <w:tcMar>
              <w:top w:w="80" w:type="dxa"/>
              <w:bottom w:w="80" w:type="dxa"/>
              <w:left w:w="100" w:type="dxa"/>
              <w:right w:w="100" w:type="dxa"/>
            </w:tcMar>
          </w:tcPr>
          <w:p>
            <w:r>
              <w:rPr>
                <w:rFonts w:ascii="Arial" w:hAnsi="Arial"/>
                <w:b/>
                <w:color w:val="FFFFFF"/>
                <w:sz w:val="19"/>
              </w:rPr>
              <w:t>Status &amp; Verification</w:t>
            </w:r>
          </w:p>
        </w:tc>
      </w:tr>
      <w:tr>
        <w:tc>
          <w:tcPr>
            <w:tcW w:type="dxa" w:w="3312"/>
            <w:shd w:fill="F8FAFC"/>
            <w:tcMar>
              <w:top w:w="70" w:type="dxa"/>
              <w:bottom w:w="70" w:type="dxa"/>
              <w:left w:w="90" w:type="dxa"/>
              <w:right w:w="90" w:type="dxa"/>
            </w:tcMar>
            <w:tcBorders>
              <w:top w:val="single" w:sz="4" w:space="0" w:color="CBD5E1"/>
              <w:bottom w:val="single" w:sz="4" w:space="0" w:color="CBD5E1"/>
              <w:left w:val="single" w:sz="4" w:space="0" w:color="CBD5E1"/>
              <w:right w:val="single" w:sz="4" w:space="0" w:color="CBD5E1"/>
            </w:tcBorders>
          </w:tcPr>
          <w:p>
            <w:r>
              <w:rPr>
                <w:rFonts w:ascii="Arial" w:hAnsi="Arial"/>
                <w:b/>
                <w:color w:val="102C57"/>
                <w:sz w:val="18"/>
              </w:rPr>
              <w:t>Complete Project Source Archive</w:t>
            </w:r>
          </w:p>
        </w:tc>
        <w:tc>
          <w:tcPr>
            <w:tcW w:type="dxa" w:w="3312"/>
            <w:shd w:fill="F8FAFC"/>
            <w:tcMar>
              <w:top w:w="70" w:type="dxa"/>
              <w:bottom w:w="70" w:type="dxa"/>
              <w:left w:w="90" w:type="dxa"/>
              <w:right w:w="90" w:type="dxa"/>
            </w:tcMar>
            <w:tcBorders>
              <w:top w:val="single" w:sz="4" w:space="0" w:color="CBD5E1"/>
              <w:bottom w:val="single" w:sz="4" w:space="0" w:color="CBD5E1"/>
              <w:left w:val="single" w:sz="4" w:space="0" w:color="CBD5E1"/>
              <w:right w:val="single" w:sz="4" w:space="0" w:color="CBD5E1"/>
            </w:tcBorders>
          </w:tcPr>
          <w:p>
            <w:r>
              <w:rPr>
                <w:rFonts w:ascii="Arial" w:hAnsi="Arial"/>
                <w:sz w:val="18"/>
              </w:rPr>
              <w:t>oop_java-banking_system-25ce107.zip</w:t>
            </w:r>
          </w:p>
        </w:tc>
        <w:tc>
          <w:tcPr>
            <w:tcW w:type="dxa" w:w="3312"/>
            <w:shd w:fill="F8FAFC"/>
            <w:tcMar>
              <w:top w:w="70" w:type="dxa"/>
              <w:bottom w:w="70" w:type="dxa"/>
              <w:left w:w="90" w:type="dxa"/>
              <w:right w:w="90" w:type="dxa"/>
            </w:tcMar>
            <w:tcBorders>
              <w:top w:val="single" w:sz="4" w:space="0" w:color="CBD5E1"/>
              <w:bottom w:val="single" w:sz="4" w:space="0" w:color="CBD5E1"/>
              <w:left w:val="single" w:sz="4" w:space="0" w:color="CBD5E1"/>
              <w:right w:val="single" w:sz="4" w:space="0" w:color="CBD5E1"/>
            </w:tcBorders>
          </w:tcPr>
          <w:p>
            <w:r>
              <w:rPr>
                <w:rFonts w:ascii="Arial" w:hAnsi="Arial"/>
                <w:b/>
                <w:color w:val="166534"/>
                <w:sz w:val="18"/>
              </w:rPr>
              <w:t>Verified (2.5 MB) &amp; Committed in Repository</w:t>
            </w:r>
          </w:p>
        </w:tc>
      </w:tr>
      <w:tr>
        <w:tc>
          <w:tcPr>
            <w:tcW w:type="dxa" w:w="3312"/>
            <w:shd w:fill="FFFFFF"/>
            <w:tcMar>
              <w:top w:w="70" w:type="dxa"/>
              <w:bottom w:w="70" w:type="dxa"/>
              <w:left w:w="90" w:type="dxa"/>
              <w:right w:w="90" w:type="dxa"/>
            </w:tcMar>
            <w:tcBorders>
              <w:top w:val="single" w:sz="4" w:space="0" w:color="CBD5E1"/>
              <w:bottom w:val="single" w:sz="4" w:space="0" w:color="CBD5E1"/>
              <w:left w:val="single" w:sz="4" w:space="0" w:color="CBD5E1"/>
              <w:right w:val="single" w:sz="4" w:space="0" w:color="CBD5E1"/>
            </w:tcBorders>
          </w:tcPr>
          <w:p>
            <w:r>
              <w:rPr>
                <w:rFonts w:ascii="Arial" w:hAnsi="Arial"/>
                <w:b/>
                <w:color w:val="102C57"/>
                <w:sz w:val="18"/>
              </w:rPr>
              <w:t>GitHub Remote Repository</w:t>
            </w:r>
          </w:p>
        </w:tc>
        <w:tc>
          <w:tcPr>
            <w:tcW w:type="dxa" w:w="3312"/>
            <w:shd w:fill="FFFFFF"/>
            <w:tcMar>
              <w:top w:w="70" w:type="dxa"/>
              <w:bottom w:w="70" w:type="dxa"/>
              <w:left w:w="90" w:type="dxa"/>
              <w:right w:w="90" w:type="dxa"/>
            </w:tcMar>
            <w:tcBorders>
              <w:top w:val="single" w:sz="4" w:space="0" w:color="CBD5E1"/>
              <w:bottom w:val="single" w:sz="4" w:space="0" w:color="CBD5E1"/>
              <w:left w:val="single" w:sz="4" w:space="0" w:color="CBD5E1"/>
              <w:right w:val="single" w:sz="4" w:space="0" w:color="CBD5E1"/>
            </w:tcBorders>
          </w:tcPr>
          <w:p>
            <w:r>
              <w:rPr>
                <w:rFonts w:ascii="Arial" w:hAnsi="Arial"/>
                <w:sz w:val="18"/>
              </w:rPr>
              <w:t>Aryashah1505/oop_java-banking_system-25ce107</w:t>
            </w:r>
          </w:p>
        </w:tc>
        <w:tc>
          <w:tcPr>
            <w:tcW w:type="dxa" w:w="3312"/>
            <w:shd w:fill="FFFFFF"/>
            <w:tcMar>
              <w:top w:w="70" w:type="dxa"/>
              <w:bottom w:w="70" w:type="dxa"/>
              <w:left w:w="90" w:type="dxa"/>
              <w:right w:w="90" w:type="dxa"/>
            </w:tcMar>
            <w:tcBorders>
              <w:top w:val="single" w:sz="4" w:space="0" w:color="CBD5E1"/>
              <w:bottom w:val="single" w:sz="4" w:space="0" w:color="CBD5E1"/>
              <w:left w:val="single" w:sz="4" w:space="0" w:color="CBD5E1"/>
              <w:right w:val="single" w:sz="4" w:space="0" w:color="CBD5E1"/>
            </w:tcBorders>
          </w:tcPr>
          <w:p>
            <w:r>
              <w:rPr>
                <w:rFonts w:ascii="Arial" w:hAnsi="Arial"/>
                <w:b/>
                <w:color w:val="166534"/>
                <w:sz w:val="18"/>
              </w:rPr>
              <w:t>Publicly Accessible &amp; Branch 'main' Synchronized</w:t>
            </w:r>
          </w:p>
        </w:tc>
      </w:tr>
      <w:tr>
        <w:tc>
          <w:tcPr>
            <w:tcW w:type="dxa" w:w="3312"/>
            <w:shd w:fill="F8FAFC"/>
            <w:tcMar>
              <w:top w:w="70" w:type="dxa"/>
              <w:bottom w:w="70" w:type="dxa"/>
              <w:left w:w="90" w:type="dxa"/>
              <w:right w:w="90" w:type="dxa"/>
            </w:tcMar>
            <w:tcBorders>
              <w:top w:val="single" w:sz="4" w:space="0" w:color="CBD5E1"/>
              <w:bottom w:val="single" w:sz="4" w:space="0" w:color="CBD5E1"/>
              <w:left w:val="single" w:sz="4" w:space="0" w:color="CBD5E1"/>
              <w:right w:val="single" w:sz="4" w:space="0" w:color="CBD5E1"/>
            </w:tcBorders>
          </w:tcPr>
          <w:p>
            <w:r>
              <w:rPr>
                <w:rFonts w:ascii="Arial" w:hAnsi="Arial"/>
                <w:b/>
                <w:color w:val="102C57"/>
                <w:sz w:val="18"/>
              </w:rPr>
              <w:t>Automated CI Pipeline</w:t>
            </w:r>
          </w:p>
        </w:tc>
        <w:tc>
          <w:tcPr>
            <w:tcW w:type="dxa" w:w="3312"/>
            <w:shd w:fill="F8FAFC"/>
            <w:tcMar>
              <w:top w:w="70" w:type="dxa"/>
              <w:bottom w:w="70" w:type="dxa"/>
              <w:left w:w="90" w:type="dxa"/>
              <w:right w:w="90" w:type="dxa"/>
            </w:tcMar>
            <w:tcBorders>
              <w:top w:val="single" w:sz="4" w:space="0" w:color="CBD5E1"/>
              <w:bottom w:val="single" w:sz="4" w:space="0" w:color="CBD5E1"/>
              <w:left w:val="single" w:sz="4" w:space="0" w:color="CBD5E1"/>
              <w:right w:val="single" w:sz="4" w:space="0" w:color="CBD5E1"/>
            </w:tcBorders>
          </w:tcPr>
          <w:p>
            <w:r>
              <w:rPr>
                <w:rFonts w:ascii="Arial" w:hAnsi="Arial"/>
                <w:sz w:val="18"/>
              </w:rPr>
              <w:t>.github/workflows/ci.yml</w:t>
            </w:r>
          </w:p>
        </w:tc>
        <w:tc>
          <w:tcPr>
            <w:tcW w:type="dxa" w:w="3312"/>
            <w:shd w:fill="F8FAFC"/>
            <w:tcMar>
              <w:top w:w="70" w:type="dxa"/>
              <w:bottom w:w="70" w:type="dxa"/>
              <w:left w:w="90" w:type="dxa"/>
              <w:right w:w="90" w:type="dxa"/>
            </w:tcMar>
            <w:tcBorders>
              <w:top w:val="single" w:sz="4" w:space="0" w:color="CBD5E1"/>
              <w:bottom w:val="single" w:sz="4" w:space="0" w:color="CBD5E1"/>
              <w:left w:val="single" w:sz="4" w:space="0" w:color="CBD5E1"/>
              <w:right w:val="single" w:sz="4" w:space="0" w:color="CBD5E1"/>
            </w:tcBorders>
          </w:tcPr>
          <w:p>
            <w:r>
              <w:rPr>
                <w:rFonts w:ascii="Arial" w:hAnsi="Arial"/>
                <w:b/>
                <w:color w:val="166534"/>
                <w:sz w:val="18"/>
              </w:rPr>
              <w:t>Passing (Automated compilation and test execution)</w:t>
            </w:r>
          </w:p>
        </w:tc>
      </w:tr>
      <w:tr>
        <w:tc>
          <w:tcPr>
            <w:tcW w:type="dxa" w:w="3312"/>
            <w:shd w:fill="FFFFFF"/>
            <w:tcMar>
              <w:top w:w="70" w:type="dxa"/>
              <w:bottom w:w="70" w:type="dxa"/>
              <w:left w:w="90" w:type="dxa"/>
              <w:right w:w="90" w:type="dxa"/>
            </w:tcMar>
            <w:tcBorders>
              <w:top w:val="single" w:sz="4" w:space="0" w:color="CBD5E1"/>
              <w:bottom w:val="single" w:sz="4" w:space="0" w:color="CBD5E1"/>
              <w:left w:val="single" w:sz="4" w:space="0" w:color="CBD5E1"/>
              <w:right w:val="single" w:sz="4" w:space="0" w:color="CBD5E1"/>
            </w:tcBorders>
          </w:tcPr>
          <w:p>
            <w:r>
              <w:rPr>
                <w:rFonts w:ascii="Arial" w:hAnsi="Arial"/>
                <w:b/>
                <w:color w:val="102C57"/>
                <w:sz w:val="18"/>
              </w:rPr>
              <w:t>Viva Voice Exam Preparation Guide</w:t>
            </w:r>
          </w:p>
        </w:tc>
        <w:tc>
          <w:tcPr>
            <w:tcW w:type="dxa" w:w="3312"/>
            <w:shd w:fill="FFFFFF"/>
            <w:tcMar>
              <w:top w:w="70" w:type="dxa"/>
              <w:bottom w:w="70" w:type="dxa"/>
              <w:left w:w="90" w:type="dxa"/>
              <w:right w:w="90" w:type="dxa"/>
            </w:tcMar>
            <w:tcBorders>
              <w:top w:val="single" w:sz="4" w:space="0" w:color="CBD5E1"/>
              <w:bottom w:val="single" w:sz="4" w:space="0" w:color="CBD5E1"/>
              <w:left w:val="single" w:sz="4" w:space="0" w:color="CBD5E1"/>
              <w:right w:val="single" w:sz="4" w:space="0" w:color="CBD5E1"/>
            </w:tcBorders>
          </w:tcPr>
          <w:p>
            <w:r>
              <w:rPr>
                <w:rFonts w:ascii="Arial" w:hAnsi="Arial"/>
                <w:sz w:val="18"/>
              </w:rPr>
              <w:t>VIVA.md</w:t>
            </w:r>
          </w:p>
        </w:tc>
        <w:tc>
          <w:tcPr>
            <w:tcW w:type="dxa" w:w="3312"/>
            <w:shd w:fill="FFFFFF"/>
            <w:tcMar>
              <w:top w:w="70" w:type="dxa"/>
              <w:bottom w:w="70" w:type="dxa"/>
              <w:left w:w="90" w:type="dxa"/>
              <w:right w:w="90" w:type="dxa"/>
            </w:tcMar>
            <w:tcBorders>
              <w:top w:val="single" w:sz="4" w:space="0" w:color="CBD5E1"/>
              <w:bottom w:val="single" w:sz="4" w:space="0" w:color="CBD5E1"/>
              <w:left w:val="single" w:sz="4" w:space="0" w:color="CBD5E1"/>
              <w:right w:val="single" w:sz="4" w:space="0" w:color="CBD5E1"/>
            </w:tcBorders>
          </w:tcPr>
          <w:p>
            <w:r>
              <w:rPr>
                <w:rFonts w:ascii="Arial" w:hAnsi="Arial"/>
                <w:b/>
                <w:color w:val="166534"/>
                <w:sz w:val="18"/>
              </w:rPr>
              <w:t>Complete Q&amp;A covering Labs 1 through 8</w:t>
            </w:r>
          </w:p>
        </w:tc>
      </w:tr>
      <w:tr>
        <w:tc>
          <w:tcPr>
            <w:tcW w:type="dxa" w:w="3312"/>
            <w:shd w:fill="F8FAFC"/>
            <w:tcMar>
              <w:top w:w="70" w:type="dxa"/>
              <w:bottom w:w="70" w:type="dxa"/>
              <w:left w:w="90" w:type="dxa"/>
              <w:right w:w="90" w:type="dxa"/>
            </w:tcMar>
            <w:tcBorders>
              <w:top w:val="single" w:sz="4" w:space="0" w:color="CBD5E1"/>
              <w:bottom w:val="single" w:sz="4" w:space="0" w:color="CBD5E1"/>
              <w:left w:val="single" w:sz="4" w:space="0" w:color="CBD5E1"/>
              <w:right w:val="single" w:sz="4" w:space="0" w:color="CBD5E1"/>
            </w:tcBorders>
          </w:tcPr>
          <w:p>
            <w:r>
              <w:rPr>
                <w:rFonts w:ascii="Arial" w:hAnsi="Arial"/>
                <w:b/>
                <w:color w:val="102C57"/>
                <w:sz w:val="18"/>
              </w:rPr>
              <w:t>Evaluation Document (Report)</w:t>
            </w:r>
          </w:p>
        </w:tc>
        <w:tc>
          <w:tcPr>
            <w:tcW w:type="dxa" w:w="3312"/>
            <w:shd w:fill="F8FAFC"/>
            <w:tcMar>
              <w:top w:w="70" w:type="dxa"/>
              <w:bottom w:w="70" w:type="dxa"/>
              <w:left w:w="90" w:type="dxa"/>
              <w:right w:w="90" w:type="dxa"/>
            </w:tcMar>
            <w:tcBorders>
              <w:top w:val="single" w:sz="4" w:space="0" w:color="CBD5E1"/>
              <w:bottom w:val="single" w:sz="4" w:space="0" w:color="CBD5E1"/>
              <w:left w:val="single" w:sz="4" w:space="0" w:color="CBD5E1"/>
              <w:right w:val="single" w:sz="4" w:space="0" w:color="CBD5E1"/>
            </w:tcBorders>
          </w:tcPr>
          <w:p>
            <w:r>
              <w:rPr>
                <w:rFonts w:ascii="Arial" w:hAnsi="Arial"/>
                <w:sz w:val="18"/>
              </w:rPr>
              <w:t>25CE107_OOP_Java_MiniBank_Project_Report.docx / .pdf</w:t>
            </w:r>
          </w:p>
        </w:tc>
        <w:tc>
          <w:tcPr>
            <w:tcW w:type="dxa" w:w="3312"/>
            <w:shd w:fill="F8FAFC"/>
            <w:tcMar>
              <w:top w:w="70" w:type="dxa"/>
              <w:bottom w:w="70" w:type="dxa"/>
              <w:left w:w="90" w:type="dxa"/>
              <w:right w:w="90" w:type="dxa"/>
            </w:tcMar>
            <w:tcBorders>
              <w:top w:val="single" w:sz="4" w:space="0" w:color="CBD5E1"/>
              <w:bottom w:val="single" w:sz="4" w:space="0" w:color="CBD5E1"/>
              <w:left w:val="single" w:sz="4" w:space="0" w:color="CBD5E1"/>
              <w:right w:val="single" w:sz="4" w:space="0" w:color="CBD5E1"/>
            </w:tcBorders>
          </w:tcPr>
          <w:p>
            <w:r>
              <w:rPr>
                <w:rFonts w:ascii="Arial" w:hAnsi="Arial"/>
                <w:b/>
                <w:color w:val="166534"/>
                <w:sz w:val="18"/>
              </w:rPr>
              <w:t>Formatted as per CHARUSAT CSPIT academic standards</w:t>
            </w:r>
          </w:p>
        </w:tc>
      </w:tr>
    </w:tbl>
    <w:p/>
    <w:p>
      <w:pPr>
        <w:spacing w:before="400"/>
        <w:jc w:val="right"/>
      </w:pPr>
      <w:r>
        <w:rPr>
          <w:b/>
          <w:color w:val="354056"/>
        </w:rPr>
        <w:t>Submitted by:</w:t>
        <w:br/>
      </w:r>
      <w:r>
        <w:rPr>
          <w:b/>
          <w:color w:val="102C57"/>
          <w:sz w:val="22"/>
        </w:rPr>
        <w:t>Arya Shah (Roll No: 25CE107)</w:t>
        <w:br/>
      </w:r>
      <w:r>
        <w:rPr>
          <w:color w:val="646464"/>
          <w:sz w:val="19"/>
        </w:rPr>
        <w:t>Department of Computer Science &amp; Engineering</w:t>
        <w:br/>
        <w:t>CSPIT, CHARUSAT University</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