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D64" w:rsidRPr="005B1D64" w:rsidRDefault="005B1D64" w:rsidP="005B1D64">
      <w:pPr>
        <w:pStyle w:val="Ttulo"/>
        <w:rPr>
          <w:rFonts w:ascii="Arial" w:hAnsi="Arial" w:cs="Arial"/>
          <w:b/>
          <w:bCs/>
        </w:rPr>
      </w:pPr>
      <w:r w:rsidRPr="005B1D64">
        <w:rPr>
          <w:rFonts w:ascii="Arial" w:hAnsi="Arial" w:cs="Arial"/>
          <w:b/>
          <w:bCs/>
        </w:rPr>
        <w:t>Interpretação do Dashboard d</w:t>
      </w:r>
      <w:r w:rsidRPr="005B1D64">
        <w:rPr>
          <w:rFonts w:ascii="Arial" w:hAnsi="Arial" w:cs="Arial"/>
          <w:b/>
          <w:bCs/>
        </w:rPr>
        <w:t>o</w:t>
      </w:r>
      <w:r w:rsidRPr="005B1D64">
        <w:rPr>
          <w:rFonts w:ascii="Arial" w:hAnsi="Arial" w:cs="Arial"/>
          <w:b/>
          <w:bCs/>
        </w:rPr>
        <w:t xml:space="preserve"> </w:t>
      </w:r>
      <w:r w:rsidRPr="005B1D64">
        <w:rPr>
          <w:rFonts w:ascii="Arial" w:hAnsi="Arial" w:cs="Arial"/>
          <w:b/>
          <w:bCs/>
        </w:rPr>
        <w:t>Banco Box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>O dashboard apresenta cinco principais insights relacionados ao perfil financeiro dos clientes e ao risco de crédito.</w:t>
      </w:r>
    </w:p>
    <w:p w:rsidR="005B1D64" w:rsidRPr="005B1D64" w:rsidRDefault="005B1D64" w:rsidP="005B1D64">
      <w:pPr>
        <w:pStyle w:val="Estilo1"/>
        <w:rPr>
          <w:rFonts w:ascii="Arial" w:hAnsi="Arial" w:cs="Arial"/>
        </w:rPr>
      </w:pPr>
      <w:r w:rsidRPr="005B1D64">
        <w:rPr>
          <w:rFonts w:ascii="Arial" w:hAnsi="Arial" w:cs="Arial"/>
        </w:rPr>
        <w:t>1. Distribuição do Risco de Crédito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>A análise do gráfico de pizza indica que a distribuição entre os níveis de risco (baixo, médio e alto) é relativamente equilibrada.</w:t>
      </w:r>
      <w:r w:rsidRPr="005B1D64">
        <w:rPr>
          <w:rFonts w:ascii="Arial" w:hAnsi="Arial" w:cs="Arial"/>
        </w:rPr>
        <w:br/>
        <w:t>Os percentuais não demonstram concentração extrema em apenas uma categoria, sugerindo uma base de clientes diversificada.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No entanto, observa-se que o </w:t>
      </w:r>
      <w:r w:rsidRPr="005B1D64">
        <w:rPr>
          <w:rFonts w:ascii="Arial" w:hAnsi="Arial" w:cs="Arial"/>
          <w:b/>
          <w:bCs/>
        </w:rPr>
        <w:t>risco alto possui uma leve predominância</w:t>
      </w:r>
      <w:r w:rsidRPr="005B1D64">
        <w:rPr>
          <w:rFonts w:ascii="Arial" w:hAnsi="Arial" w:cs="Arial"/>
        </w:rPr>
        <w:t>, o que pode indicar uma atenção especial necessária para esse grupo.</w:t>
      </w:r>
    </w:p>
    <w:p w:rsidR="005B1D64" w:rsidRPr="005B1D64" w:rsidRDefault="005B1D64" w:rsidP="005B1D64">
      <w:pPr>
        <w:pStyle w:val="Estilo1"/>
        <w:rPr>
          <w:rFonts w:ascii="Arial" w:hAnsi="Arial" w:cs="Arial"/>
        </w:rPr>
      </w:pPr>
      <w:r w:rsidRPr="005B1D64">
        <w:rPr>
          <w:rFonts w:ascii="Arial" w:hAnsi="Arial" w:cs="Arial"/>
        </w:rPr>
        <w:t>2. Média de Renda Salarial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A média de renda dos clientes é de aproximadamente </w:t>
      </w:r>
      <w:r w:rsidRPr="005B1D64">
        <w:rPr>
          <w:rFonts w:ascii="Arial" w:hAnsi="Arial" w:cs="Arial"/>
          <w:b/>
          <w:bCs/>
        </w:rPr>
        <w:t>R$ 10.020</w:t>
      </w:r>
      <w:r w:rsidRPr="005B1D64">
        <w:rPr>
          <w:rFonts w:ascii="Arial" w:hAnsi="Arial" w:cs="Arial"/>
        </w:rPr>
        <w:t>.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>Esse valor serve como referência geral do perfil financeiro da base e pode ser utilizado para:</w:t>
      </w:r>
    </w:p>
    <w:p w:rsidR="005B1D64" w:rsidRPr="005B1D64" w:rsidRDefault="005B1D64" w:rsidP="005B1D64">
      <w:pPr>
        <w:numPr>
          <w:ilvl w:val="0"/>
          <w:numId w:val="1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Comparações com grupos de risco </w:t>
      </w:r>
    </w:p>
    <w:p w:rsidR="005B1D64" w:rsidRPr="005B1D64" w:rsidRDefault="005B1D64" w:rsidP="005B1D64">
      <w:pPr>
        <w:numPr>
          <w:ilvl w:val="0"/>
          <w:numId w:val="1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Análises segmentadas por profissão ou idade </w:t>
      </w:r>
    </w:p>
    <w:p w:rsidR="005B1D64" w:rsidRPr="005B1D64" w:rsidRDefault="005B1D64" w:rsidP="005B1D64">
      <w:pPr>
        <w:numPr>
          <w:ilvl w:val="0"/>
          <w:numId w:val="1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Avaliação da capacidade de pagamento dos clientes </w:t>
      </w:r>
    </w:p>
    <w:p w:rsidR="005B1D64" w:rsidRPr="005B1D64" w:rsidRDefault="005B1D64" w:rsidP="005B1D64">
      <w:pPr>
        <w:pStyle w:val="Estilo1"/>
      </w:pPr>
      <w:r w:rsidRPr="005B1D64">
        <w:t>3. Total de Clientes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O </w:t>
      </w:r>
      <w:proofErr w:type="spellStart"/>
      <w:r w:rsidRPr="005B1D64">
        <w:rPr>
          <w:rFonts w:ascii="Arial" w:hAnsi="Arial" w:cs="Arial"/>
        </w:rPr>
        <w:t>dataset</w:t>
      </w:r>
      <w:proofErr w:type="spellEnd"/>
      <w:r w:rsidRPr="005B1D64">
        <w:rPr>
          <w:rFonts w:ascii="Arial" w:hAnsi="Arial" w:cs="Arial"/>
        </w:rPr>
        <w:t xml:space="preserve"> é composto por </w:t>
      </w:r>
      <w:r w:rsidRPr="005B1D64">
        <w:rPr>
          <w:rFonts w:ascii="Arial" w:hAnsi="Arial" w:cs="Arial"/>
          <w:b/>
          <w:bCs/>
        </w:rPr>
        <w:t>1.000 clientes</w:t>
      </w:r>
      <w:r w:rsidRPr="005B1D64">
        <w:rPr>
          <w:rFonts w:ascii="Arial" w:hAnsi="Arial" w:cs="Arial"/>
        </w:rPr>
        <w:t>, o que fornece uma base consistente para análises estatísticas e identificação de padrões.</w:t>
      </w:r>
    </w:p>
    <w:p w:rsidR="005B1D64" w:rsidRPr="005B1D64" w:rsidRDefault="005B1D64" w:rsidP="005B1D64">
      <w:pPr>
        <w:pStyle w:val="Estilo1"/>
      </w:pPr>
      <w:r w:rsidRPr="005B1D64">
        <w:t>4. Profissões com Maior Acúmulo de Dívidas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As profissões que apresentam maior volume de dívidas </w:t>
      </w:r>
      <w:r>
        <w:rPr>
          <w:rFonts w:ascii="Arial" w:hAnsi="Arial" w:cs="Arial"/>
        </w:rPr>
        <w:t xml:space="preserve">respectivamente </w:t>
      </w:r>
      <w:r w:rsidRPr="005B1D64">
        <w:rPr>
          <w:rFonts w:ascii="Arial" w:hAnsi="Arial" w:cs="Arial"/>
        </w:rPr>
        <w:t>são: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Designer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Empreendedor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Enfermeiro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Professor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Analista de TI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Médico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lastRenderedPageBreak/>
        <w:t xml:space="preserve">Advogado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Contador </w:t>
      </w:r>
    </w:p>
    <w:p w:rsidR="005B1D64" w:rsidRPr="005B1D64" w:rsidRDefault="005B1D64" w:rsidP="005B1D64">
      <w:pPr>
        <w:numPr>
          <w:ilvl w:val="0"/>
          <w:numId w:val="2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Engenheiro 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>Uma possível interpretação para esse comportamento:</w:t>
      </w:r>
    </w:p>
    <w:p w:rsidR="005B1D64" w:rsidRPr="005B1D64" w:rsidRDefault="005B1D64" w:rsidP="005B1D64">
      <w:pPr>
        <w:numPr>
          <w:ilvl w:val="0"/>
          <w:numId w:val="3"/>
        </w:numPr>
        <w:rPr>
          <w:rFonts w:ascii="Arial" w:hAnsi="Arial" w:cs="Arial"/>
        </w:rPr>
      </w:pPr>
      <w:r w:rsidRPr="005B1D64">
        <w:rPr>
          <w:rFonts w:ascii="Arial" w:hAnsi="Arial" w:cs="Arial"/>
          <w:b/>
          <w:bCs/>
        </w:rPr>
        <w:t>Empreendedores</w:t>
      </w:r>
      <w:r w:rsidRPr="005B1D64">
        <w:rPr>
          <w:rFonts w:ascii="Arial" w:hAnsi="Arial" w:cs="Arial"/>
        </w:rPr>
        <w:t xml:space="preserve">: possuem altos custos operacionais (estoque, funcionários, </w:t>
      </w:r>
      <w:proofErr w:type="gramStart"/>
      <w:r w:rsidRPr="005B1D64">
        <w:rPr>
          <w:rFonts w:ascii="Arial" w:hAnsi="Arial" w:cs="Arial"/>
        </w:rPr>
        <w:t>aluguel, etc.</w:t>
      </w:r>
      <w:proofErr w:type="gramEnd"/>
      <w:r w:rsidRPr="005B1D64">
        <w:rPr>
          <w:rFonts w:ascii="Arial" w:hAnsi="Arial" w:cs="Arial"/>
        </w:rPr>
        <w:t xml:space="preserve">) </w:t>
      </w:r>
    </w:p>
    <w:p w:rsidR="005B1D64" w:rsidRPr="005B1D64" w:rsidRDefault="005B1D64" w:rsidP="005B1D64">
      <w:pPr>
        <w:numPr>
          <w:ilvl w:val="0"/>
          <w:numId w:val="3"/>
        </w:numPr>
        <w:rPr>
          <w:rFonts w:ascii="Arial" w:hAnsi="Arial" w:cs="Arial"/>
        </w:rPr>
      </w:pPr>
      <w:r w:rsidRPr="005B1D64">
        <w:rPr>
          <w:rFonts w:ascii="Arial" w:hAnsi="Arial" w:cs="Arial"/>
          <w:b/>
          <w:bCs/>
        </w:rPr>
        <w:t>Designers e profissionais de TI</w:t>
      </w:r>
      <w:r w:rsidRPr="005B1D64">
        <w:rPr>
          <w:rFonts w:ascii="Arial" w:hAnsi="Arial" w:cs="Arial"/>
        </w:rPr>
        <w:t xml:space="preserve">: gastos com softwares, ferramentas e atualização constante </w:t>
      </w:r>
    </w:p>
    <w:p w:rsidR="005B1D64" w:rsidRPr="005B1D64" w:rsidRDefault="005B1D64" w:rsidP="005B1D64">
      <w:pPr>
        <w:numPr>
          <w:ilvl w:val="0"/>
          <w:numId w:val="3"/>
        </w:numPr>
        <w:rPr>
          <w:rFonts w:ascii="Arial" w:hAnsi="Arial" w:cs="Arial"/>
        </w:rPr>
      </w:pPr>
      <w:r w:rsidRPr="005B1D64">
        <w:rPr>
          <w:rFonts w:ascii="Arial" w:hAnsi="Arial" w:cs="Arial"/>
          <w:b/>
          <w:bCs/>
        </w:rPr>
        <w:t>Enfermeiros e outras profissões da saúde</w:t>
      </w:r>
      <w:r w:rsidRPr="005B1D64">
        <w:rPr>
          <w:rFonts w:ascii="Arial" w:hAnsi="Arial" w:cs="Arial"/>
        </w:rPr>
        <w:t xml:space="preserve">: podem ter custos com equipamentos ou especializações 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Essas hipóteses indicam que o nível de endividamento pode estar mais relacionado ao </w:t>
      </w:r>
      <w:r w:rsidRPr="005B1D64">
        <w:rPr>
          <w:rFonts w:ascii="Arial" w:hAnsi="Arial" w:cs="Arial"/>
          <w:b/>
          <w:bCs/>
        </w:rPr>
        <w:t>investimento na própria atividade profissional</w:t>
      </w:r>
      <w:r w:rsidRPr="005B1D64">
        <w:rPr>
          <w:rFonts w:ascii="Arial" w:hAnsi="Arial" w:cs="Arial"/>
        </w:rPr>
        <w:t xml:space="preserve"> do que necessariamente à má gestão financeira.</w:t>
      </w:r>
    </w:p>
    <w:p w:rsidR="005B1D64" w:rsidRPr="005B1D64" w:rsidRDefault="005B1D64" w:rsidP="005B1D64">
      <w:pPr>
        <w:pStyle w:val="Estilo1"/>
      </w:pPr>
      <w:r w:rsidRPr="005B1D64">
        <w:t>5. Relação entre Renda e Idade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O gráfico de linha mostra a evolução da renda média entre as idades de </w:t>
      </w:r>
      <w:r w:rsidRPr="005B1D64">
        <w:rPr>
          <w:rFonts w:ascii="Arial" w:hAnsi="Arial" w:cs="Arial"/>
          <w:b/>
          <w:bCs/>
        </w:rPr>
        <w:t>19 a 50 anos</w:t>
      </w:r>
      <w:r w:rsidRPr="005B1D64">
        <w:rPr>
          <w:rFonts w:ascii="Arial" w:hAnsi="Arial" w:cs="Arial"/>
        </w:rPr>
        <w:t>.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>Observa-se que:</w:t>
      </w:r>
    </w:p>
    <w:p w:rsidR="005B1D64" w:rsidRPr="005B1D64" w:rsidRDefault="005B1D64" w:rsidP="005B1D64">
      <w:pPr>
        <w:numPr>
          <w:ilvl w:val="0"/>
          <w:numId w:val="4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Nas idades iniciais, há maior variação na renda </w:t>
      </w:r>
    </w:p>
    <w:p w:rsidR="005B1D64" w:rsidRPr="005B1D64" w:rsidRDefault="005B1D64" w:rsidP="005B1D64">
      <w:pPr>
        <w:numPr>
          <w:ilvl w:val="0"/>
          <w:numId w:val="4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Com o aumento da idade, a renda tende a se estabilizar 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>Isso pode indicar:</w:t>
      </w:r>
    </w:p>
    <w:p w:rsidR="005B1D64" w:rsidRPr="005B1D64" w:rsidRDefault="005B1D64" w:rsidP="005B1D64">
      <w:pPr>
        <w:numPr>
          <w:ilvl w:val="0"/>
          <w:numId w:val="5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Início de carreira com maior instabilidade financeira </w:t>
      </w:r>
    </w:p>
    <w:p w:rsidR="005B1D64" w:rsidRPr="005B1D64" w:rsidRDefault="005B1D64" w:rsidP="005B1D64">
      <w:pPr>
        <w:numPr>
          <w:ilvl w:val="0"/>
          <w:numId w:val="5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Consolidação profissional ao longo do tempo </w:t>
      </w:r>
    </w:p>
    <w:p w:rsidR="005B1D64" w:rsidRPr="005B1D64" w:rsidRDefault="005B1D64" w:rsidP="005B1D64">
      <w:pPr>
        <w:pStyle w:val="Estilo1"/>
      </w:pPr>
      <w:r w:rsidRPr="005B1D64">
        <w:t>Conclusão Geral</w:t>
      </w:r>
    </w:p>
    <w:p w:rsidR="005B1D64" w:rsidRPr="005B1D64" w:rsidRDefault="005B1D64" w:rsidP="005B1D64">
      <w:pPr>
        <w:rPr>
          <w:rFonts w:ascii="Arial" w:hAnsi="Arial" w:cs="Arial"/>
        </w:rPr>
      </w:pPr>
      <w:r w:rsidRPr="005B1D64">
        <w:rPr>
          <w:rFonts w:ascii="Arial" w:hAnsi="Arial" w:cs="Arial"/>
        </w:rPr>
        <w:t>O dashboard revela que:</w:t>
      </w:r>
    </w:p>
    <w:p w:rsidR="005B1D64" w:rsidRPr="005B1D64" w:rsidRDefault="005B1D64" w:rsidP="005B1D64">
      <w:pPr>
        <w:numPr>
          <w:ilvl w:val="0"/>
          <w:numId w:val="6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O risco de crédito está relativamente equilibrado, mas com leve predominância de risco alto </w:t>
      </w:r>
    </w:p>
    <w:p w:rsidR="005B1D64" w:rsidRPr="005B1D64" w:rsidRDefault="005B1D64" w:rsidP="005B1D64">
      <w:pPr>
        <w:numPr>
          <w:ilvl w:val="0"/>
          <w:numId w:val="6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A renda média é consistente, mas não impede o endividamento </w:t>
      </w:r>
    </w:p>
    <w:p w:rsidR="005B1D64" w:rsidRPr="005B1D64" w:rsidRDefault="005B1D64" w:rsidP="005B1D64">
      <w:pPr>
        <w:numPr>
          <w:ilvl w:val="0"/>
          <w:numId w:val="6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 xml:space="preserve">O endividamento está fortemente ligado ao perfil profissional </w:t>
      </w:r>
    </w:p>
    <w:p w:rsidR="005B1D64" w:rsidRPr="005B1D64" w:rsidRDefault="005B1D64" w:rsidP="005B1D64">
      <w:pPr>
        <w:numPr>
          <w:ilvl w:val="0"/>
          <w:numId w:val="6"/>
        </w:numPr>
        <w:rPr>
          <w:rFonts w:ascii="Arial" w:hAnsi="Arial" w:cs="Arial"/>
        </w:rPr>
      </w:pPr>
      <w:r w:rsidRPr="005B1D64">
        <w:rPr>
          <w:rFonts w:ascii="Arial" w:hAnsi="Arial" w:cs="Arial"/>
        </w:rPr>
        <w:t>A idade influencia diretamente na estabilidade da renda</w:t>
      </w:r>
    </w:p>
    <w:p w:rsidR="00174BA4" w:rsidRPr="005B1D64" w:rsidRDefault="00174BA4">
      <w:pPr>
        <w:rPr>
          <w:rFonts w:ascii="Arial" w:hAnsi="Arial" w:cs="Arial"/>
        </w:rPr>
      </w:pPr>
    </w:p>
    <w:sectPr w:rsidR="00174BA4" w:rsidRPr="005B1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C39"/>
    <w:multiLevelType w:val="multilevel"/>
    <w:tmpl w:val="F75A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544E7"/>
    <w:multiLevelType w:val="multilevel"/>
    <w:tmpl w:val="148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56C2A"/>
    <w:multiLevelType w:val="multilevel"/>
    <w:tmpl w:val="C6C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B37B2"/>
    <w:multiLevelType w:val="multilevel"/>
    <w:tmpl w:val="F304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D2EA7"/>
    <w:multiLevelType w:val="multilevel"/>
    <w:tmpl w:val="0106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C71E8"/>
    <w:multiLevelType w:val="multilevel"/>
    <w:tmpl w:val="4EA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708389">
    <w:abstractNumId w:val="4"/>
  </w:num>
  <w:num w:numId="2" w16cid:durableId="11611865">
    <w:abstractNumId w:val="2"/>
  </w:num>
  <w:num w:numId="3" w16cid:durableId="1119033790">
    <w:abstractNumId w:val="5"/>
  </w:num>
  <w:num w:numId="4" w16cid:durableId="892690515">
    <w:abstractNumId w:val="3"/>
  </w:num>
  <w:num w:numId="5" w16cid:durableId="1193346524">
    <w:abstractNumId w:val="1"/>
  </w:num>
  <w:num w:numId="6" w16cid:durableId="48008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D64"/>
    <w:rsid w:val="0005639B"/>
    <w:rsid w:val="00174BA4"/>
    <w:rsid w:val="00417957"/>
    <w:rsid w:val="005B1D64"/>
    <w:rsid w:val="006A0B5B"/>
    <w:rsid w:val="00871EAB"/>
    <w:rsid w:val="009759D9"/>
    <w:rsid w:val="00C1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D9782"/>
  <w15:chartTrackingRefBased/>
  <w15:docId w15:val="{26331F57-C831-4149-A7FC-CA18DFFA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1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1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1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1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1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1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1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1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1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1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1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1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1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1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1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1D64"/>
    <w:rPr>
      <w:b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Normal"/>
    <w:link w:val="Estilo1Char"/>
    <w:qFormat/>
    <w:rsid w:val="005B1D64"/>
    <w:rPr>
      <w:b/>
      <w:bCs/>
      <w:sz w:val="40"/>
    </w:rPr>
  </w:style>
  <w:style w:type="character" w:customStyle="1" w:styleId="Estilo1Char">
    <w:name w:val="Estilo1 Char"/>
    <w:basedOn w:val="Fontepargpadro"/>
    <w:link w:val="Estilo1"/>
    <w:rsid w:val="005B1D64"/>
    <w:rPr>
      <w:b/>
      <w:bCs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ARYSSON ANDRE OLIVEIRA DA LUZ</dc:creator>
  <cp:keywords/>
  <dc:description/>
  <cp:lastModifiedBy>ARYSSON ANDRE OLIVEIRA DA LUZ</cp:lastModifiedBy>
  <cp:revision>1</cp:revision>
  <dcterms:created xsi:type="dcterms:W3CDTF">2026-03-21T22:44:00Z</dcterms:created>
  <dcterms:modified xsi:type="dcterms:W3CDTF">2026-03-21T22:52:00Z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2026-03-21T22:51:58Z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e6ebab81-47d5-4077-8555-d65a93c3d5df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