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6"/>
        <w:ind w:left="0" w:right="0"/>
      </w:pPr>
    </w:p>
    <w:p>
      <w:pPr>
        <w:sectPr>
          <w:pgSz w:w="11904" w:h="16841"/>
          <w:pgMar w:top="424" w:right="1084" w:bottom="446" w:left="1022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44039" cy="4394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039" cy="439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4" w:h="16841"/>
          <w:pgMar w:top="424" w:right="1084" w:bottom="446" w:left="1022" w:header="720" w:footer="720" w:gutter="0"/>
          <w:cols w:num="2" w:equalWidth="0">
            <w:col w:w="5518" w:space="0"/>
            <w:col w:w="4280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0"/>
        <w:ind w:left="0" w:right="6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2024</w:t>
      </w:r>
      <w:r>
        <w:rPr>
          <w:rFonts w:ascii="宋体" w:hAnsi="宋体" w:eastAsia="宋体"/>
          <w:b w:val="0"/>
          <w:i w:val="0"/>
          <w:color w:val="000000"/>
          <w:sz w:val="18"/>
        </w:rPr>
        <w:t xml:space="preserve"> 年年度报告全文</w:t>
      </w:r>
    </w:p>
    <w:p>
      <w:pPr>
        <w:sectPr>
          <w:type w:val="nextColumn"/>
          <w:pgSz w:w="11904" w:h="16841"/>
          <w:pgMar w:top="424" w:right="1084" w:bottom="446" w:left="1022" w:header="720" w:footer="720" w:gutter="0"/>
          <w:cols w:num="2" w:equalWidth="0">
            <w:col w:w="5518" w:space="0"/>
            <w:col w:w="4280" w:space="0"/>
          </w:cols>
          <w:docGrid w:linePitch="360"/>
        </w:sectPr>
      </w:pPr>
    </w:p>
    <w:p>
      <w:pPr>
        <w:autoSpaceDN w:val="0"/>
        <w:tabs>
          <w:tab w:pos="8844" w:val="left"/>
        </w:tabs>
        <w:autoSpaceDE w:val="0"/>
        <w:widowControl/>
        <w:spacing w:line="318" w:lineRule="exact" w:before="92" w:after="66"/>
        <w:ind w:left="112" w:right="144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21"/>
        </w:rPr>
        <w:t xml:space="preserve">额与毛利率不成比例变动，同时采用商品贸易模式核算，销售收入和销售成本同步减少。 </w:t>
      </w:r>
      <w:r>
        <w:br/>
      </w:r>
      <w:r>
        <w:tab/>
      </w:r>
      <w:r>
        <w:rPr>
          <w:rFonts w:ascii="宋体" w:hAnsi="宋体" w:eastAsia="宋体"/>
          <w:b w:val="0"/>
          <w:i w:val="0"/>
          <w:color w:val="000000"/>
          <w:sz w:val="18"/>
        </w:rPr>
        <w:t xml:space="preserve">单位：元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633"/>
        <w:gridCol w:w="1633"/>
        <w:gridCol w:w="1633"/>
        <w:gridCol w:w="1633"/>
        <w:gridCol w:w="1633"/>
        <w:gridCol w:w="1633"/>
      </w:tblGrid>
      <w:tr>
        <w:trPr>
          <w:trHeight w:hRule="exact" w:val="402"/>
        </w:trPr>
        <w:tc>
          <w:tcPr>
            <w:tcW w:type="dxa" w:w="1924"/>
            <w:vMerge w:val="restart"/>
            <w:tcBorders>
              <w:start w:sz="2.3999999999999773" w:val="single" w:color="#000000"/>
              <w:top w:sz="1.6000000000000227" w:val="single" w:color="#000000"/>
              <w:end w:sz="1.599999999999909" w:val="single" w:color="#000000"/>
              <w:bottom w:sz="1.599999999999909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98" w:after="0"/>
              <w:ind w:left="0" w:right="688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项目 </w:t>
            </w:r>
          </w:p>
        </w:tc>
        <w:tc>
          <w:tcPr>
            <w:tcW w:type="dxa" w:w="2888"/>
            <w:gridSpan w:val="2"/>
            <w:tcBorders>
              <w:start w:sz="1.599999999999909" w:val="single" w:color="#000000"/>
              <w:top w:sz="1.6000000000000227" w:val="single" w:color="#000000"/>
              <w:end w:sz="1.599999999999909" w:val="single" w:color="#000000"/>
              <w:bottom w:sz="2.400000000000091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1060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2024 年 </w:t>
            </w:r>
          </w:p>
        </w:tc>
        <w:tc>
          <w:tcPr>
            <w:tcW w:type="dxa" w:w="3206"/>
            <w:gridSpan w:val="2"/>
            <w:tcBorders>
              <w:start w:sz="1.599999999999909" w:val="single" w:color="#000000"/>
              <w:top w:sz="1.6000000000000227" w:val="single" w:color="#000000"/>
              <w:end w:sz="2.400000000000091" w:val="single" w:color="#000000"/>
              <w:bottom w:sz="2.400000000000091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1218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2023 年 </w:t>
            </w:r>
          </w:p>
        </w:tc>
        <w:tc>
          <w:tcPr>
            <w:tcW w:type="dxa" w:w="1620"/>
            <w:vMerge w:val="restart"/>
            <w:tcBorders>
              <w:start w:sz="2.400000000000091" w:val="single" w:color="#000000"/>
              <w:top w:sz="1.6000000000000227" w:val="single" w:color="#000000"/>
              <w:end w:sz="2.399999999999636" w:val="single" w:color="#000000"/>
              <w:bottom w:sz="1.599999999999909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98" w:after="0"/>
              <w:ind w:left="0" w:right="358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同比增减 </w:t>
            </w:r>
          </w:p>
        </w:tc>
      </w:tr>
      <w:tr>
        <w:trPr>
          <w:trHeight w:hRule="exact" w:val="566"/>
        </w:trPr>
        <w:tc>
          <w:tcPr>
            <w:tcW w:type="dxa" w:w="1633"/>
            <w:vMerge/>
            <w:tcBorders>
              <w:start w:sz="2.3999999999999773" w:val="single" w:color="#000000"/>
              <w:top w:sz="1.6000000000000227" w:val="single" w:color="#000000"/>
              <w:end w:sz="1.599999999999909" w:val="single" w:color="#000000"/>
              <w:bottom w:sz="1.599999999999909" w:val="single" w:color="#000000"/>
            </w:tcBorders>
          </w:tcPr>
          <w:p/>
        </w:tc>
        <w:tc>
          <w:tcPr>
            <w:tcW w:type="dxa" w:w="1406"/>
            <w:tcBorders>
              <w:start w:sz="1.599999999999909" w:val="single" w:color="#000000"/>
              <w:top w:sz="2.400000000000091" w:val="single" w:color="#000000"/>
              <w:end w:sz="1.6000000000001364" w:val="single" w:color="#000000"/>
              <w:bottom w:sz="1.599999999999909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96" w:after="0"/>
              <w:ind w:left="0" w:right="430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金额 </w:t>
            </w:r>
          </w:p>
        </w:tc>
        <w:tc>
          <w:tcPr>
            <w:tcW w:type="dxa" w:w="1482"/>
            <w:tcBorders>
              <w:start w:sz="1.6000000000001364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40" w:lineRule="exact" w:before="1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>占营业总收入比</w:t>
            </w:r>
            <w:r>
              <w:tab/>
            </w: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重 </w:t>
            </w:r>
          </w:p>
        </w:tc>
        <w:tc>
          <w:tcPr>
            <w:tcW w:type="dxa" w:w="1792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96" w:after="0"/>
              <w:ind w:left="0" w:right="624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金额 </w:t>
            </w:r>
          </w:p>
        </w:tc>
        <w:tc>
          <w:tcPr>
            <w:tcW w:type="dxa" w:w="141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8" w:val="left"/>
              </w:tabs>
              <w:autoSpaceDE w:val="0"/>
              <w:widowControl/>
              <w:spacing w:line="240" w:lineRule="exact" w:before="16" w:after="0"/>
              <w:ind w:left="168" w:right="144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>占营业总收入</w:t>
            </w:r>
            <w:r>
              <w:tab/>
            </w: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比重 </w:t>
            </w:r>
          </w:p>
        </w:tc>
        <w:tc>
          <w:tcPr>
            <w:tcW w:type="dxa" w:w="1633"/>
            <w:vMerge/>
            <w:tcBorders>
              <w:start w:sz="2.400000000000091" w:val="single" w:color="#000000"/>
              <w:top w:sz="1.6000000000000227" w:val="single" w:color="#000000"/>
              <w:end w:sz="2.399999999999636" w:val="single" w:color="#000000"/>
              <w:bottom w:sz="1.599999999999909" w:val="single" w:color="#000000"/>
            </w:tcBorders>
          </w:tcPr>
          <w:p/>
        </w:tc>
      </w:tr>
      <w:tr>
        <w:trPr>
          <w:trHeight w:hRule="exact" w:val="400"/>
        </w:trPr>
        <w:tc>
          <w:tcPr>
            <w:tcW w:type="dxa" w:w="1924"/>
            <w:tcBorders>
              <w:start w:sz="2.3999999999999773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0" w:right="0" w:firstLine="0"/>
              <w:jc w:val="center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手续费及佣金净收入 </w:t>
            </w:r>
          </w:p>
        </w:tc>
        <w:tc>
          <w:tcPr>
            <w:tcW w:type="dxa" w:w="1406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1,363,894,744</w:t>
            </w:r>
          </w:p>
        </w:tc>
        <w:tc>
          <w:tcPr>
            <w:tcW w:type="dxa" w:w="1482"/>
            <w:tcBorders>
              <w:start w:sz="1.6000000000001364" w:val="single" w:color="#000000"/>
              <w:top w:sz="1.599999999999909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43.27%</w:t>
            </w:r>
          </w:p>
        </w:tc>
        <w:tc>
          <w:tcPr>
            <w:tcW w:type="dxa" w:w="1792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1,251,128,404</w:t>
            </w:r>
          </w:p>
        </w:tc>
        <w:tc>
          <w:tcPr>
            <w:tcW w:type="dxa" w:w="1414"/>
            <w:tcBorders>
              <w:start w:sz="2.400000000000091" w:val="single" w:color="#000000"/>
              <w:top w:sz="1.599999999999909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36.05%</w:t>
            </w:r>
          </w:p>
        </w:tc>
        <w:tc>
          <w:tcPr>
            <w:tcW w:type="dxa" w:w="1620"/>
            <w:tcBorders>
              <w:start w:sz="2.400000000000091" w:val="single" w:color="#000000"/>
              <w:top w:sz="1.599999999999909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9.01%</w:t>
            </w:r>
          </w:p>
        </w:tc>
      </w:tr>
      <w:tr>
        <w:trPr>
          <w:trHeight w:hRule="exact" w:val="404"/>
        </w:trPr>
        <w:tc>
          <w:tcPr>
            <w:tcW w:type="dxa" w:w="1924"/>
            <w:tcBorders>
              <w:start w:sz="2.3999999999999773" w:val="single" w:color="#000000"/>
              <w:top w:sz="1.599999999999909" w:val="single" w:color="#000000"/>
              <w:end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利息净收入 </w:t>
            </w:r>
          </w:p>
        </w:tc>
        <w:tc>
          <w:tcPr>
            <w:tcW w:type="dxa" w:w="1406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-55,638,756</w:t>
            </w:r>
          </w:p>
        </w:tc>
        <w:tc>
          <w:tcPr>
            <w:tcW w:type="dxa" w:w="1482"/>
            <w:tcBorders>
              <w:start w:sz="1.6000000000001364" w:val="single" w:color="#000000"/>
              <w:top w:sz="1.599999999999909" w:val="single" w:color="#000000"/>
              <w:end w:sz="1.59999999999990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-1.77%</w:t>
            </w:r>
          </w:p>
        </w:tc>
        <w:tc>
          <w:tcPr>
            <w:tcW w:type="dxa" w:w="1792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-137,573,748</w:t>
            </w:r>
          </w:p>
        </w:tc>
        <w:tc>
          <w:tcPr>
            <w:tcW w:type="dxa" w:w="1414"/>
            <w:tcBorders>
              <w:start w:sz="2.400000000000091" w:val="single" w:color="#000000"/>
              <w:top w:sz="1.599999999999909" w:val="single" w:color="#000000"/>
              <w:end w:sz="2.400000000000091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0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-3.96%</w:t>
            </w:r>
          </w:p>
        </w:tc>
        <w:tc>
          <w:tcPr>
            <w:tcW w:type="dxa" w:w="1620"/>
            <w:tcBorders>
              <w:start w:sz="2.400000000000091" w:val="single" w:color="#000000"/>
              <w:top w:sz="1.599999999999909" w:val="single" w:color="#000000"/>
              <w:end w:sz="2.399999999999636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446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不适用 </w:t>
            </w:r>
          </w:p>
        </w:tc>
      </w:tr>
      <w:tr>
        <w:trPr>
          <w:trHeight w:hRule="exact" w:val="400"/>
        </w:trPr>
        <w:tc>
          <w:tcPr>
            <w:tcW w:type="dxa" w:w="1924"/>
            <w:tcBorders>
              <w:start w:sz="2.3999999999999773" w:val="single" w:color="#000000"/>
              <w:top w:sz="1.6000000000001364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投资收益 </w:t>
            </w:r>
          </w:p>
        </w:tc>
        <w:tc>
          <w:tcPr>
            <w:tcW w:type="dxa" w:w="1406"/>
            <w:tcBorders>
              <w:start w:sz="1.599999999999909" w:val="single" w:color="#000000"/>
              <w:top w:sz="1.6000000000001364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1,509,329,487</w:t>
            </w:r>
          </w:p>
        </w:tc>
        <w:tc>
          <w:tcPr>
            <w:tcW w:type="dxa" w:w="1482"/>
            <w:tcBorders>
              <w:start w:sz="1.6000000000001364" w:val="single" w:color="#000000"/>
              <w:top w:sz="1.6000000000001364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47.88%</w:t>
            </w:r>
          </w:p>
        </w:tc>
        <w:tc>
          <w:tcPr>
            <w:tcW w:type="dxa" w:w="1792"/>
            <w:tcBorders>
              <w:start w:sz="1.599999999999909" w:val="single" w:color="#000000"/>
              <w:top w:sz="1.6000000000001364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1,656,016,337</w:t>
            </w:r>
          </w:p>
        </w:tc>
        <w:tc>
          <w:tcPr>
            <w:tcW w:type="dxa" w:w="1414"/>
            <w:tcBorders>
              <w:start w:sz="2.400000000000091" w:val="single" w:color="#000000"/>
              <w:top w:sz="1.6000000000001364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47.71%</w:t>
            </w:r>
          </w:p>
        </w:tc>
        <w:tc>
          <w:tcPr>
            <w:tcW w:type="dxa" w:w="1620"/>
            <w:tcBorders>
              <w:start w:sz="2.400000000000091" w:val="single" w:color="#000000"/>
              <w:top w:sz="1.6000000000001364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-8.86%</w:t>
            </w:r>
          </w:p>
        </w:tc>
      </w:tr>
      <w:tr>
        <w:trPr>
          <w:trHeight w:hRule="exact" w:val="404"/>
        </w:trPr>
        <w:tc>
          <w:tcPr>
            <w:tcW w:type="dxa" w:w="1924"/>
            <w:tcBorders>
              <w:start w:sz="2.3999999999999773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公允价值变动损益 </w:t>
            </w:r>
          </w:p>
        </w:tc>
        <w:tc>
          <w:tcPr>
            <w:tcW w:type="dxa" w:w="1406"/>
            <w:tcBorders>
              <w:start w:sz="1.599999999999909" w:val="single" w:color="#000000"/>
              <w:top w:sz="2.400000000000091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108,177,437</w:t>
            </w:r>
          </w:p>
        </w:tc>
        <w:tc>
          <w:tcPr>
            <w:tcW w:type="dxa" w:w="1482"/>
            <w:tcBorders>
              <w:start w:sz="1.6000000000001364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3.43%</w:t>
            </w:r>
          </w:p>
        </w:tc>
        <w:tc>
          <w:tcPr>
            <w:tcW w:type="dxa" w:w="1792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91,820,357</w:t>
            </w:r>
          </w:p>
        </w:tc>
        <w:tc>
          <w:tcPr>
            <w:tcW w:type="dxa" w:w="141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2.64%</w:t>
            </w:r>
          </w:p>
        </w:tc>
        <w:tc>
          <w:tcPr>
            <w:tcW w:type="dxa" w:w="1620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17.81%</w:t>
            </w:r>
          </w:p>
        </w:tc>
      </w:tr>
      <w:tr>
        <w:trPr>
          <w:trHeight w:hRule="exact" w:val="402"/>
        </w:trPr>
        <w:tc>
          <w:tcPr>
            <w:tcW w:type="dxa" w:w="1924"/>
            <w:tcBorders>
              <w:start w:sz="2.3999999999999773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汇兑损益 </w:t>
            </w:r>
          </w:p>
        </w:tc>
        <w:tc>
          <w:tcPr>
            <w:tcW w:type="dxa" w:w="1406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-13,252,089</w:t>
            </w:r>
          </w:p>
        </w:tc>
        <w:tc>
          <w:tcPr>
            <w:tcW w:type="dxa" w:w="1482"/>
            <w:tcBorders>
              <w:start w:sz="1.6000000000001364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-0.42%</w:t>
            </w:r>
          </w:p>
        </w:tc>
        <w:tc>
          <w:tcPr>
            <w:tcW w:type="dxa" w:w="1792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-13,583,738</w:t>
            </w:r>
          </w:p>
        </w:tc>
        <w:tc>
          <w:tcPr>
            <w:tcW w:type="dxa" w:w="1414"/>
            <w:tcBorders>
              <w:start w:sz="2.400000000000091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-0.39%</w:t>
            </w:r>
          </w:p>
        </w:tc>
        <w:tc>
          <w:tcPr>
            <w:tcW w:type="dxa" w:w="1620"/>
            <w:tcBorders>
              <w:start w:sz="2.400000000000091" w:val="single" w:color="#000000"/>
              <w:top w:sz="1.599999999999909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446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不适用 </w:t>
            </w:r>
          </w:p>
        </w:tc>
      </w:tr>
      <w:tr>
        <w:trPr>
          <w:trHeight w:hRule="exact" w:val="402"/>
        </w:trPr>
        <w:tc>
          <w:tcPr>
            <w:tcW w:type="dxa" w:w="1924"/>
            <w:tcBorders>
              <w:start w:sz="2.3999999999999773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其他业务收入 </w:t>
            </w:r>
          </w:p>
        </w:tc>
        <w:tc>
          <w:tcPr>
            <w:tcW w:type="dxa" w:w="1406"/>
            <w:tcBorders>
              <w:start w:sz="1.599999999999909" w:val="single" w:color="#000000"/>
              <w:top w:sz="2.400000000000091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220,919,978</w:t>
            </w:r>
          </w:p>
        </w:tc>
        <w:tc>
          <w:tcPr>
            <w:tcW w:type="dxa" w:w="1482"/>
            <w:tcBorders>
              <w:start w:sz="1.6000000000001364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7.01%</w:t>
            </w:r>
          </w:p>
        </w:tc>
        <w:tc>
          <w:tcPr>
            <w:tcW w:type="dxa" w:w="1792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598,500,556</w:t>
            </w:r>
          </w:p>
        </w:tc>
        <w:tc>
          <w:tcPr>
            <w:tcW w:type="dxa" w:w="141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17.24%</w:t>
            </w:r>
          </w:p>
        </w:tc>
        <w:tc>
          <w:tcPr>
            <w:tcW w:type="dxa" w:w="1620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-63.09%</w:t>
            </w:r>
          </w:p>
        </w:tc>
      </w:tr>
      <w:tr>
        <w:trPr>
          <w:trHeight w:hRule="exact" w:val="400"/>
        </w:trPr>
        <w:tc>
          <w:tcPr>
            <w:tcW w:type="dxa" w:w="1924"/>
            <w:tcBorders>
              <w:start w:sz="2.3999999999999773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资产处置损益 </w:t>
            </w:r>
          </w:p>
        </w:tc>
        <w:tc>
          <w:tcPr>
            <w:tcW w:type="dxa" w:w="1406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-414,796</w:t>
            </w:r>
          </w:p>
        </w:tc>
        <w:tc>
          <w:tcPr>
            <w:tcW w:type="dxa" w:w="1482"/>
            <w:tcBorders>
              <w:start w:sz="1.6000000000001364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-0.01%</w:t>
            </w:r>
          </w:p>
        </w:tc>
        <w:tc>
          <w:tcPr>
            <w:tcW w:type="dxa" w:w="1792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194,809</w:t>
            </w:r>
          </w:p>
        </w:tc>
        <w:tc>
          <w:tcPr>
            <w:tcW w:type="dxa" w:w="1414"/>
            <w:tcBorders>
              <w:start w:sz="2.400000000000091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0.01%</w:t>
            </w:r>
          </w:p>
        </w:tc>
        <w:tc>
          <w:tcPr>
            <w:tcW w:type="dxa" w:w="1620"/>
            <w:tcBorders>
              <w:start w:sz="2.400000000000091" w:val="single" w:color="#000000"/>
              <w:top w:sz="1.599999999999909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-312.92%</w:t>
            </w:r>
          </w:p>
        </w:tc>
      </w:tr>
      <w:tr>
        <w:trPr>
          <w:trHeight w:hRule="exact" w:val="404"/>
        </w:trPr>
        <w:tc>
          <w:tcPr>
            <w:tcW w:type="dxa" w:w="1924"/>
            <w:tcBorders>
              <w:start w:sz="2.3999999999999773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其他收益 </w:t>
            </w:r>
          </w:p>
        </w:tc>
        <w:tc>
          <w:tcPr>
            <w:tcW w:type="dxa" w:w="1406"/>
            <w:tcBorders>
              <w:start w:sz="1.599999999999909" w:val="single" w:color="#000000"/>
              <w:top w:sz="2.400000000000091" w:val="single" w:color="#000000"/>
              <w:end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19,059,202</w:t>
            </w:r>
          </w:p>
        </w:tc>
        <w:tc>
          <w:tcPr>
            <w:tcW w:type="dxa" w:w="1482"/>
            <w:tcBorders>
              <w:start w:sz="1.6000000000001364" w:val="single" w:color="#000000"/>
              <w:top w:sz="2.400000000000091" w:val="single" w:color="#000000"/>
              <w:end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0.60%</w:t>
            </w:r>
          </w:p>
        </w:tc>
        <w:tc>
          <w:tcPr>
            <w:tcW w:type="dxa" w:w="1792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24,193,184</w:t>
            </w:r>
          </w:p>
        </w:tc>
        <w:tc>
          <w:tcPr>
            <w:tcW w:type="dxa" w:w="1414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0.70%</w:t>
            </w:r>
          </w:p>
        </w:tc>
        <w:tc>
          <w:tcPr>
            <w:tcW w:type="dxa" w:w="1620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-21.22%</w:t>
            </w:r>
          </w:p>
        </w:tc>
      </w:tr>
      <w:tr>
        <w:trPr>
          <w:trHeight w:hRule="exact" w:val="402"/>
        </w:trPr>
        <w:tc>
          <w:tcPr>
            <w:tcW w:type="dxa" w:w="1924"/>
            <w:tcBorders>
              <w:start w:sz="2.3999999999999773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营业总收入合计 </w:t>
            </w:r>
          </w:p>
        </w:tc>
        <w:tc>
          <w:tcPr>
            <w:tcW w:type="dxa" w:w="1406"/>
            <w:tcBorders>
              <w:start w:sz="1.599999999999909" w:val="single" w:color="#000000"/>
              <w:top w:sz="1.599999999999909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2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3,152,075,207</w:t>
            </w:r>
          </w:p>
        </w:tc>
        <w:tc>
          <w:tcPr>
            <w:tcW w:type="dxa" w:w="1482"/>
            <w:tcBorders>
              <w:start w:sz="1.6000000000001364" w:val="single" w:color="#000000"/>
              <w:top w:sz="1.599999999999909" w:val="single" w:color="#000000"/>
              <w:end w:sz="1.599999999999909" w:val="single" w:color="#000000"/>
              <w:bottom w:sz="2.400000000000091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16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792"/>
            <w:tcBorders>
              <w:start w:sz="1.599999999999909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3,470,696,161</w:t>
            </w:r>
          </w:p>
        </w:tc>
        <w:tc>
          <w:tcPr>
            <w:tcW w:type="dxa" w:w="1414"/>
            <w:tcBorders>
              <w:start w:sz="2.400000000000091" w:val="single" w:color="#000000"/>
              <w:top w:sz="1.599999999999909" w:val="single" w:color="#000000"/>
              <w:end w:sz="2.400000000000091" w:val="single" w:color="#000000"/>
              <w:bottom w:sz="2.400000000000091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12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620"/>
            <w:tcBorders>
              <w:start w:sz="2.400000000000091" w:val="single" w:color="#000000"/>
              <w:top w:sz="1.599999999999909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-9.18%</w:t>
            </w:r>
          </w:p>
        </w:tc>
      </w:tr>
    </w:tbl>
    <w:p>
      <w:pPr>
        <w:autoSpaceDN w:val="0"/>
        <w:autoSpaceDE w:val="0"/>
        <w:widowControl/>
        <w:spacing w:line="222" w:lineRule="exact" w:before="112" w:after="0"/>
        <w:ind w:left="112" w:right="288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18"/>
        </w:rPr>
        <w:t>相关数据同比发生变动</w:t>
      </w:r>
      <w:r>
        <w:rPr>
          <w:rFonts w:ascii="Calibri" w:hAnsi="Calibri" w:eastAsia="Calibri"/>
          <w:b w:val="0"/>
          <w:i w:val="0"/>
          <w:color w:val="000000"/>
          <w:sz w:val="18"/>
        </w:rPr>
        <w:t>30%</w:t>
      </w:r>
      <w:r>
        <w:rPr>
          <w:rFonts w:ascii="宋体" w:hAnsi="宋体" w:eastAsia="宋体"/>
          <w:b w:val="0"/>
          <w:i w:val="0"/>
          <w:color w:val="000000"/>
          <w:sz w:val="18"/>
        </w:rPr>
        <w:t>以上的原因见本节“七、资产及负债状况分析中的</w:t>
      </w:r>
      <w:r>
        <w:rPr>
          <w:rFonts w:ascii="Calibri" w:hAnsi="Calibri" w:eastAsia="Calibri"/>
          <w:b w:val="0"/>
          <w:i w:val="0"/>
          <w:color w:val="000000"/>
          <w:sz w:val="18"/>
        </w:rPr>
        <w:t>4</w:t>
      </w:r>
      <w:r>
        <w:rPr>
          <w:rFonts w:ascii="宋体" w:hAnsi="宋体" w:eastAsia="宋体"/>
          <w:b w:val="0"/>
          <w:i w:val="0"/>
          <w:color w:val="000000"/>
          <w:sz w:val="18"/>
        </w:rPr>
        <w:t>、比较式财务报表中变动幅度超过</w:t>
      </w:r>
      <w:r>
        <w:rPr>
          <w:rFonts w:ascii="Calibri" w:hAnsi="Calibri" w:eastAsia="Calibri"/>
          <w:b w:val="0"/>
          <w:i w:val="0"/>
          <w:color w:val="000000"/>
          <w:sz w:val="18"/>
        </w:rPr>
        <w:t>30%</w:t>
      </w:r>
      <w:r>
        <w:rPr>
          <w:rFonts w:ascii="宋体" w:hAnsi="宋体" w:eastAsia="宋体"/>
          <w:b w:val="0"/>
          <w:i w:val="0"/>
          <w:color w:val="000000"/>
          <w:sz w:val="18"/>
        </w:rPr>
        <w:t xml:space="preserve">以上项目的情况” </w:t>
      </w:r>
    </w:p>
    <w:p>
      <w:pPr>
        <w:autoSpaceDN w:val="0"/>
        <w:autoSpaceDE w:val="0"/>
        <w:widowControl/>
        <w:spacing w:line="180" w:lineRule="exact" w:before="396" w:after="0"/>
        <w:ind w:left="112" w:right="0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18"/>
        </w:rPr>
        <w:t xml:space="preserve">（2） 公司已签订的重大销售合同、重大采购合同情况 </w:t>
      </w:r>
    </w:p>
    <w:p>
      <w:pPr>
        <w:autoSpaceDN w:val="0"/>
        <w:autoSpaceDE w:val="0"/>
        <w:widowControl/>
        <w:spacing w:line="180" w:lineRule="exact" w:before="364" w:after="0"/>
        <w:ind w:left="112" w:right="0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18"/>
        </w:rPr>
        <w:t xml:space="preserve">□适用 √不适用 </w:t>
      </w:r>
    </w:p>
    <w:p>
      <w:pPr>
        <w:autoSpaceDN w:val="0"/>
        <w:autoSpaceDE w:val="0"/>
        <w:widowControl/>
        <w:spacing w:line="180" w:lineRule="exact" w:before="394" w:after="0"/>
        <w:ind w:left="112" w:right="0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18"/>
        </w:rPr>
        <w:t xml:space="preserve">（3） 营业成本构成 </w:t>
      </w:r>
    </w:p>
    <w:p>
      <w:pPr>
        <w:autoSpaceDN w:val="0"/>
        <w:autoSpaceDE w:val="0"/>
        <w:widowControl/>
        <w:spacing w:line="210" w:lineRule="exact" w:before="516" w:after="0"/>
        <w:ind w:left="532" w:right="0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21"/>
        </w:rPr>
        <w:t xml:space="preserve">报告期内，公司营业支出 232,352.03 万元，同比下降13.99%。其中，税金及附加同比减少 </w:t>
      </w:r>
    </w:p>
    <w:p>
      <w:pPr>
        <w:autoSpaceDN w:val="0"/>
        <w:autoSpaceDE w:val="0"/>
        <w:widowControl/>
        <w:spacing w:line="212" w:lineRule="exact" w:before="250" w:after="0"/>
        <w:ind w:left="112" w:right="0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21"/>
        </w:rPr>
        <w:t>447.39 万元，同比下降20.16%；业务及管理费同比增加 3,013.89 万元，同比增长1.47%；信用减值</w:t>
      </w:r>
    </w:p>
    <w:p>
      <w:pPr>
        <w:autoSpaceDN w:val="0"/>
        <w:autoSpaceDE w:val="0"/>
        <w:widowControl/>
        <w:spacing w:line="210" w:lineRule="exact" w:before="250" w:after="0"/>
        <w:ind w:left="112" w:right="0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21"/>
        </w:rPr>
        <w:t>损失同比减少 3,592.77 万元，同比下降58.54%；其他业务成本同比减少 36,772.75 万元，同比下降</w:t>
      </w:r>
    </w:p>
    <w:p>
      <w:pPr>
        <w:autoSpaceDN w:val="0"/>
        <w:tabs>
          <w:tab w:pos="8844" w:val="left"/>
        </w:tabs>
        <w:autoSpaceDE w:val="0"/>
        <w:widowControl/>
        <w:spacing w:line="318" w:lineRule="exact" w:before="142" w:after="64"/>
        <w:ind w:left="112" w:right="144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21"/>
        </w:rPr>
        <w:t xml:space="preserve">64.60%，主要为子公司仓单业务规模减少所致。 </w:t>
      </w:r>
      <w:r>
        <w:br/>
      </w:r>
      <w:r>
        <w:tab/>
      </w:r>
      <w:r>
        <w:rPr>
          <w:rFonts w:ascii="宋体" w:hAnsi="宋体" w:eastAsia="宋体"/>
          <w:b w:val="0"/>
          <w:i w:val="0"/>
          <w:color w:val="000000"/>
          <w:sz w:val="18"/>
        </w:rPr>
        <w:t xml:space="preserve">单位：元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1633"/>
        <w:gridCol w:w="1633"/>
        <w:gridCol w:w="1633"/>
        <w:gridCol w:w="1633"/>
        <w:gridCol w:w="1633"/>
        <w:gridCol w:w="1633"/>
      </w:tblGrid>
      <w:tr>
        <w:trPr>
          <w:trHeight w:hRule="exact" w:val="404"/>
        </w:trPr>
        <w:tc>
          <w:tcPr>
            <w:tcW w:type="dxa" w:w="1608"/>
            <w:vMerge w:val="restart"/>
            <w:tcBorders>
              <w:start w:sz="2.3999999999999773" w:val="single" w:color="#000000"/>
              <w:top w:sz="2.399999999999636" w:val="single" w:color="#000000"/>
              <w:end w:sz="2.3999999999998636" w:val="single" w:color="#000000"/>
              <w:bottom w:sz="2.399999999999636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2" w:val="left"/>
              </w:tabs>
              <w:autoSpaceDE w:val="0"/>
              <w:widowControl/>
              <w:spacing w:line="240" w:lineRule="exact" w:before="136" w:after="0"/>
              <w:ind w:left="172" w:right="144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>营业成本构成项</w:t>
            </w:r>
            <w:r>
              <w:tab/>
            </w: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目 </w:t>
            </w:r>
          </w:p>
        </w:tc>
        <w:tc>
          <w:tcPr>
            <w:tcW w:type="dxa" w:w="3212"/>
            <w:gridSpan w:val="2"/>
            <w:tcBorders>
              <w:start w:sz="2.3999999999998636" w:val="single" w:color="#000000"/>
              <w:top w:sz="2.399999999999636" w:val="single" w:color="#000000"/>
              <w:end w:sz="2.399999999999636" w:val="single" w:color="#000000"/>
              <w:bottom w:sz="1.5999999999994543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6" w:after="0"/>
              <w:ind w:left="0" w:right="1220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2024 年 </w:t>
            </w:r>
          </w:p>
        </w:tc>
        <w:tc>
          <w:tcPr>
            <w:tcW w:type="dxa" w:w="3214"/>
            <w:gridSpan w:val="2"/>
            <w:tcBorders>
              <w:start w:sz="2.399999999999636" w:val="single" w:color="#000000"/>
              <w:top w:sz="2.399999999999636" w:val="single" w:color="#000000"/>
              <w:end w:sz="2.400000000000091" w:val="single" w:color="#000000"/>
              <w:bottom w:sz="1.5999999999994543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6" w:after="0"/>
              <w:ind w:left="0" w:right="1222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2023 年 </w:t>
            </w:r>
          </w:p>
        </w:tc>
        <w:tc>
          <w:tcPr>
            <w:tcW w:type="dxa" w:w="1604"/>
            <w:vMerge w:val="restart"/>
            <w:tcBorders>
              <w:start w:sz="2.400000000000091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  <w:shd w:fill="d2d2d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16" w:after="0"/>
              <w:ind w:left="0" w:right="350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同比增减 </w:t>
            </w:r>
          </w:p>
        </w:tc>
      </w:tr>
      <w:tr>
        <w:trPr>
          <w:trHeight w:hRule="exact" w:val="402"/>
        </w:trPr>
        <w:tc>
          <w:tcPr>
            <w:tcW w:type="dxa" w:w="1633"/>
            <w:vMerge/>
            <w:tcBorders>
              <w:start w:sz="2.3999999999999773" w:val="single" w:color="#000000"/>
              <w:top w:sz="2.399999999999636" w:val="single" w:color="#000000"/>
              <w:end w:sz="2.3999999999998636" w:val="single" w:color="#000000"/>
              <w:bottom w:sz="2.399999999999636" w:val="single" w:color="#000000"/>
            </w:tcBorders>
          </w:tcPr>
          <w:p/>
        </w:tc>
        <w:tc>
          <w:tcPr>
            <w:tcW w:type="dxa" w:w="1604"/>
            <w:tcBorders>
              <w:start w:sz="2.3999999999998636" w:val="single" w:color="#000000"/>
              <w:top w:sz="1.5999999999994543" w:val="single" w:color="#000000"/>
              <w:end w:sz="2.400000000000091" w:val="single" w:color="#000000"/>
              <w:bottom w:sz="2.399999999999636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528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金额 </w:t>
            </w:r>
          </w:p>
        </w:tc>
        <w:tc>
          <w:tcPr>
            <w:tcW w:type="dxa" w:w="1608"/>
            <w:tcBorders>
              <w:start w:sz="2.400000000000091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172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占营业成本比重 </w:t>
            </w:r>
          </w:p>
        </w:tc>
        <w:tc>
          <w:tcPr>
            <w:tcW w:type="dxa" w:w="1608"/>
            <w:tcBorders>
              <w:start w:sz="2.399999999999636" w:val="single" w:color="#000000"/>
              <w:top w:sz="1.5999999999994543" w:val="single" w:color="#000000"/>
              <w:end w:sz="1.599999999999909" w:val="single" w:color="#000000"/>
              <w:bottom w:sz="2.399999999999636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0" w:right="532" w:firstLine="0"/>
              <w:jc w:val="righ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金额 </w:t>
            </w:r>
          </w:p>
        </w:tc>
        <w:tc>
          <w:tcPr>
            <w:tcW w:type="dxa" w:w="1606"/>
            <w:tcBorders>
              <w:start w:sz="1.599999999999909" w:val="single" w:color="#000000"/>
              <w:top w:sz="1.5999999999994543" w:val="single" w:color="#000000"/>
              <w:end w:sz="2.400000000000091" w:val="single" w:color="#000000"/>
              <w:bottom w:sz="2.399999999999636" w:val="single" w:color="#000000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170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占营业成本比重 </w:t>
            </w:r>
          </w:p>
        </w:tc>
        <w:tc>
          <w:tcPr>
            <w:tcW w:type="dxa" w:w="1633"/>
            <w:vMerge/>
            <w:tcBorders>
              <w:start w:sz="2.400000000000091" w:val="single" w:color="#000000"/>
              <w:top w:sz="2.399999999999636" w:val="single" w:color="#000000"/>
              <w:end w:sz="2.399999999999636" w:val="single" w:color="#000000"/>
              <w:bottom w:sz="2.399999999999636" w:val="single" w:color="#000000"/>
            </w:tcBorders>
          </w:tcPr>
          <w:p/>
        </w:tc>
      </w:tr>
      <w:tr>
        <w:trPr>
          <w:trHeight w:hRule="exact" w:val="402"/>
        </w:trPr>
        <w:tc>
          <w:tcPr>
            <w:tcW w:type="dxa" w:w="1608"/>
            <w:tcBorders>
              <w:start w:sz="2.3999999999999773" w:val="single" w:color="#000000"/>
              <w:top w:sz="2.399999999999636" w:val="single" w:color="#000000"/>
              <w:end w:sz="2.3999999999998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税金及附加 </w:t>
            </w:r>
          </w:p>
        </w:tc>
        <w:tc>
          <w:tcPr>
            <w:tcW w:type="dxa" w:w="1604"/>
            <w:tcBorders>
              <w:start w:sz="2.3999999999998636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17,721,634</w:t>
            </w:r>
          </w:p>
        </w:tc>
        <w:tc>
          <w:tcPr>
            <w:tcW w:type="dxa" w:w="1608"/>
            <w:tcBorders>
              <w:start w:sz="2.400000000000091" w:val="single" w:color="#000000"/>
              <w:top w:sz="2.399999999999636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0.76%</w:t>
            </w:r>
          </w:p>
        </w:tc>
        <w:tc>
          <w:tcPr>
            <w:tcW w:type="dxa" w:w="1608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22,195,522</w:t>
            </w:r>
          </w:p>
        </w:tc>
        <w:tc>
          <w:tcPr>
            <w:tcW w:type="dxa" w:w="1606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0.82%</w:t>
            </w:r>
          </w:p>
        </w:tc>
        <w:tc>
          <w:tcPr>
            <w:tcW w:type="dxa" w:w="1604"/>
            <w:tcBorders>
              <w:start w:sz="2.400000000000091" w:val="single" w:color="#000000"/>
              <w:top w:sz="2.399999999999636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-20.16%</w:t>
            </w:r>
          </w:p>
        </w:tc>
      </w:tr>
      <w:tr>
        <w:trPr>
          <w:trHeight w:hRule="exact" w:val="400"/>
        </w:trPr>
        <w:tc>
          <w:tcPr>
            <w:tcW w:type="dxa" w:w="1608"/>
            <w:tcBorders>
              <w:start w:sz="2.3999999999999773" w:val="single" w:color="#000000"/>
              <w:top w:sz="1.6000000000003638" w:val="single" w:color="#000000"/>
              <w:end w:sz="2.3999999999998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业务及管理费 </w:t>
            </w:r>
          </w:p>
        </w:tc>
        <w:tc>
          <w:tcPr>
            <w:tcW w:type="dxa" w:w="1604"/>
            <w:tcBorders>
              <w:start w:sz="2.3999999999998636" w:val="single" w:color="#000000"/>
              <w:top w:sz="1.6000000000003638" w:val="single" w:color="#000000"/>
              <w:end w:sz="2.400000000000091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2,078,801,870</w:t>
            </w:r>
          </w:p>
        </w:tc>
        <w:tc>
          <w:tcPr>
            <w:tcW w:type="dxa" w:w="1608"/>
            <w:tcBorders>
              <w:start w:sz="2.400000000000091" w:val="single" w:color="#000000"/>
              <w:top w:sz="1.6000000000003638" w:val="single" w:color="#000000"/>
              <w:end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89.47%</w:t>
            </w:r>
          </w:p>
        </w:tc>
        <w:tc>
          <w:tcPr>
            <w:tcW w:type="dxa" w:w="1608"/>
            <w:tcBorders>
              <w:start w:sz="2.399999999999636" w:val="single" w:color="#000000"/>
              <w:top w:sz="1.6000000000003638" w:val="single" w:color="#000000"/>
              <w:end w:sz="1.599999999999909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2,048,662,935</w:t>
            </w:r>
          </w:p>
        </w:tc>
        <w:tc>
          <w:tcPr>
            <w:tcW w:type="dxa" w:w="1606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75.84%</w:t>
            </w:r>
          </w:p>
        </w:tc>
        <w:tc>
          <w:tcPr>
            <w:tcW w:type="dxa" w:w="1604"/>
            <w:tcBorders>
              <w:start w:sz="2.400000000000091" w:val="single" w:color="#000000"/>
              <w:top w:sz="1.6000000000003638" w:val="single" w:color="#000000"/>
              <w:end w:sz="2.399999999999636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1.47%</w:t>
            </w:r>
          </w:p>
        </w:tc>
      </w:tr>
      <w:tr>
        <w:trPr>
          <w:trHeight w:hRule="exact" w:val="404"/>
        </w:trPr>
        <w:tc>
          <w:tcPr>
            <w:tcW w:type="dxa" w:w="1608"/>
            <w:tcBorders>
              <w:start w:sz="2.3999999999999773" w:val="single" w:color="#000000"/>
              <w:top w:sz="2.4000000000005457" w:val="single" w:color="#000000"/>
              <w:end w:sz="2.3999999999998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信用减值损失 </w:t>
            </w:r>
          </w:p>
        </w:tc>
        <w:tc>
          <w:tcPr>
            <w:tcW w:type="dxa" w:w="1604"/>
            <w:tcBorders>
              <w:start w:sz="2.3999999999998636" w:val="single" w:color="#000000"/>
              <w:top w:sz="2.4000000000005457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25,443,795</w:t>
            </w:r>
          </w:p>
        </w:tc>
        <w:tc>
          <w:tcPr>
            <w:tcW w:type="dxa" w:w="1608"/>
            <w:tcBorders>
              <w:start w:sz="2.400000000000091" w:val="single" w:color="#000000"/>
              <w:top w:sz="2.4000000000005457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1.10%</w:t>
            </w:r>
          </w:p>
        </w:tc>
        <w:tc>
          <w:tcPr>
            <w:tcW w:type="dxa" w:w="1608"/>
            <w:tcBorders>
              <w:start w:sz="2.399999999999636" w:val="single" w:color="#000000"/>
              <w:top w:sz="2.4000000000005457" w:val="single" w:color="#000000"/>
              <w:end w:sz="1.59999999999990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61,371,540</w:t>
            </w:r>
          </w:p>
        </w:tc>
        <w:tc>
          <w:tcPr>
            <w:tcW w:type="dxa" w:w="1606"/>
            <w:tcBorders>
              <w:start w:sz="1.599999999999909" w:val="single" w:color="#000000"/>
              <w:top w:sz="2.4000000000005457" w:val="single" w:color="#000000"/>
              <w:end w:sz="2.400000000000091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2.27%</w:t>
            </w:r>
          </w:p>
        </w:tc>
        <w:tc>
          <w:tcPr>
            <w:tcW w:type="dxa" w:w="1604"/>
            <w:tcBorders>
              <w:start w:sz="2.400000000000091" w:val="single" w:color="#000000"/>
              <w:top w:sz="2.4000000000005457" w:val="single" w:color="#000000"/>
              <w:end w:sz="2.399999999999636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-58.54%</w:t>
            </w:r>
          </w:p>
        </w:tc>
      </w:tr>
      <w:tr>
        <w:trPr>
          <w:trHeight w:hRule="exact" w:val="402"/>
        </w:trPr>
        <w:tc>
          <w:tcPr>
            <w:tcW w:type="dxa" w:w="1608"/>
            <w:tcBorders>
              <w:start w:sz="2.3999999999999773" w:val="single" w:color="#000000"/>
              <w:top w:sz="1.5999999999994543" w:val="single" w:color="#000000"/>
              <w:end w:sz="2.3999999999998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其他业务成本 </w:t>
            </w:r>
          </w:p>
        </w:tc>
        <w:tc>
          <w:tcPr>
            <w:tcW w:type="dxa" w:w="1604"/>
            <w:tcBorders>
              <w:start w:sz="2.3999999999998636" w:val="single" w:color="#000000"/>
              <w:top w:sz="1.5999999999994543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201,553,048</w:t>
            </w:r>
          </w:p>
        </w:tc>
        <w:tc>
          <w:tcPr>
            <w:tcW w:type="dxa" w:w="1608"/>
            <w:tcBorders>
              <w:start w:sz="2.400000000000091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8.67%</w:t>
            </w:r>
          </w:p>
        </w:tc>
        <w:tc>
          <w:tcPr>
            <w:tcW w:type="dxa" w:w="1608"/>
            <w:tcBorders>
              <w:start w:sz="2.399999999999636" w:val="single" w:color="#000000"/>
              <w:top w:sz="1.5999999999994543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569,280,571</w:t>
            </w:r>
          </w:p>
        </w:tc>
        <w:tc>
          <w:tcPr>
            <w:tcW w:type="dxa" w:w="1606"/>
            <w:tcBorders>
              <w:start w:sz="1.599999999999909" w:val="single" w:color="#000000"/>
              <w:top w:sz="1.5999999999994543" w:val="single" w:color="#000000"/>
              <w:end w:sz="2.400000000000091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21.07%</w:t>
            </w:r>
          </w:p>
        </w:tc>
        <w:tc>
          <w:tcPr>
            <w:tcW w:type="dxa" w:w="1604"/>
            <w:tcBorders>
              <w:start w:sz="2.400000000000091" w:val="single" w:color="#000000"/>
              <w:top w:sz="1.5999999999994543" w:val="single" w:color="#000000"/>
              <w:end w:sz="2.399999999999636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-64.60%</w:t>
            </w:r>
          </w:p>
        </w:tc>
      </w:tr>
      <w:tr>
        <w:trPr>
          <w:trHeight w:hRule="exact" w:val="402"/>
        </w:trPr>
        <w:tc>
          <w:tcPr>
            <w:tcW w:type="dxa" w:w="1608"/>
            <w:tcBorders>
              <w:start w:sz="2.3999999999999773" w:val="single" w:color="#000000"/>
              <w:top w:sz="2.399999999999636" w:val="single" w:color="#000000"/>
              <w:end w:sz="2.3999999999998636" w:val="single" w:color="#000000"/>
              <w:bottom w:sz="1.6000000000003638" w:val="single" w:color="#000000"/>
            </w:tcBorders>
            <w:shd w:fill="d7d7d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宋体" w:hAnsi="宋体" w:eastAsia="宋体"/>
                <w:b w:val="0"/>
                <w:i w:val="0"/>
                <w:color w:val="000000"/>
                <w:sz w:val="18"/>
              </w:rPr>
              <w:t xml:space="preserve">营业支出合计 </w:t>
            </w:r>
          </w:p>
        </w:tc>
        <w:tc>
          <w:tcPr>
            <w:tcW w:type="dxa" w:w="1604"/>
            <w:tcBorders>
              <w:start w:sz="2.3999999999998636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2,323,520,347</w:t>
            </w:r>
          </w:p>
        </w:tc>
        <w:tc>
          <w:tcPr>
            <w:tcW w:type="dxa" w:w="1608"/>
            <w:tcBorders>
              <w:start w:sz="2.400000000000091" w:val="single" w:color="#000000"/>
              <w:top w:sz="2.399999999999636" w:val="single" w:color="#000000"/>
              <w:end w:sz="2.399999999999636" w:val="single" w:color="#000000"/>
              <w:bottom w:sz="1.6000000000003638" w:val="single" w:color="#000000"/>
            </w:tcBorders>
            <w:shd w:fill="d7d7d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100.00%</w:t>
            </w:r>
          </w:p>
        </w:tc>
        <w:tc>
          <w:tcPr>
            <w:tcW w:type="dxa" w:w="1608"/>
            <w:tcBorders>
              <w:start w:sz="2.399999999999636" w:val="single" w:color="#000000"/>
              <w:top w:sz="2.399999999999636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2,701,510,568</w:t>
            </w:r>
          </w:p>
        </w:tc>
        <w:tc>
          <w:tcPr>
            <w:tcW w:type="dxa" w:w="1606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shd w:fill="d7d7d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100.00%</w:t>
            </w:r>
          </w:p>
        </w:tc>
        <w:tc>
          <w:tcPr>
            <w:tcW w:type="dxa" w:w="1604"/>
            <w:tcBorders>
              <w:start w:sz="2.400000000000091" w:val="single" w:color="#000000"/>
              <w:top w:sz="2.399999999999636" w:val="single" w:color="#000000"/>
              <w:end w:sz="2.399999999999636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-13.99%</w:t>
            </w:r>
          </w:p>
        </w:tc>
      </w:tr>
    </w:tbl>
    <w:p>
      <w:pPr>
        <w:autoSpaceDN w:val="0"/>
        <w:autoSpaceDE w:val="0"/>
        <w:widowControl/>
        <w:spacing w:line="240" w:lineRule="exact" w:before="76" w:after="0"/>
        <w:ind w:left="112" w:right="144" w:firstLine="0"/>
        <w:jc w:val="left"/>
      </w:pPr>
      <w:r>
        <w:rPr>
          <w:rFonts w:ascii="宋体" w:hAnsi="宋体" w:eastAsia="宋体"/>
          <w:b w:val="0"/>
          <w:i w:val="0"/>
          <w:color w:val="000000"/>
          <w:sz w:val="18"/>
        </w:rPr>
        <w:t>相关数据同比发生变动30%以上的原因见本节“七、资产及负债状况分析中的4、比较式财务报表中变动幅度超过30%以</w:t>
      </w:r>
      <w:r>
        <w:rPr>
          <w:rFonts w:ascii="宋体" w:hAnsi="宋体" w:eastAsia="宋体"/>
          <w:b w:val="0"/>
          <w:i w:val="0"/>
          <w:color w:val="000000"/>
          <w:sz w:val="18"/>
        </w:rPr>
        <w:t>上项目的情况”</w:t>
      </w:r>
    </w:p>
    <w:p>
      <w:pPr>
        <w:autoSpaceDN w:val="0"/>
        <w:autoSpaceDE w:val="0"/>
        <w:widowControl/>
        <w:spacing w:line="197" w:lineRule="auto" w:before="654" w:after="0"/>
        <w:ind w:left="0" w:right="473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36 </w:t>
      </w:r>
    </w:p>
    <w:sectPr w:rsidR="00FC693F" w:rsidRPr="0006063C" w:rsidSect="00034616">
      <w:type w:val="continuous"/>
      <w:pgSz w:w="11904" w:h="16841"/>
      <w:pgMar w:top="424" w:right="1084" w:bottom="446" w:left="10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