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pPr>
      <w:r>
        <w:rPr>
          <w:b/>
          <w:color w:val="2F68C5"/>
          <w:sz w:val="20"/>
        </w:rPr>
        <w:t>TEAM PRESENTATION GUIDE</w:t>
      </w:r>
    </w:p>
    <w:p>
      <w:pPr>
        <w:pStyle w:val="Title"/>
        <w:spacing w:after="60"/>
      </w:pPr>
      <w:r>
        <w:t>SynapseMigrate</w:t>
      </w:r>
    </w:p>
    <w:p>
      <w:pPr>
        <w:spacing w:after="320"/>
      </w:pPr>
      <w:r>
        <w:rPr>
          <w:color w:val="67778D"/>
          <w:sz w:val="32"/>
        </w:rPr>
        <w:t>A three-person walkthrough of schema analysis and migration planning</w:t>
      </w:r>
    </w:p>
    <w:tbl>
      <w:tblPr>
        <w:tblW w:type="auto" w:w="0"/>
        <w:jc w:val="center"/>
        <w:tblLook w:firstColumn="1" w:firstRow="1" w:lastColumn="0" w:lastRow="0" w:noHBand="0" w:noVBand="1" w:val="04A0"/>
      </w:tblPr>
      <w:tblGrid>
        <w:gridCol w:w="9994"/>
      </w:tblGrid>
      <w:tr>
        <w:trPr>
          <w:cantSplit/>
        </w:trPr>
        <w:tc>
          <w:tcPr>
            <w:tcW w:type="dxa" w:w="9994"/>
            <w:shd w:fill="F0F5FF"/>
          </w:tcPr>
          <w:p>
            <w:pPr>
              <w:spacing w:after="40"/>
            </w:pPr>
            <w:r/>
            <w:r>
              <w:rPr>
                <w:b/>
                <w:color w:val="2F68C5"/>
              </w:rPr>
              <w:t xml:space="preserve">DEMO FORMAT  </w:t>
            </w:r>
            <w:r>
              <w:t>About 6 minutes • 3 presenters • live dashboard + a guided, read-only visualization</w:t>
            </w:r>
          </w:p>
        </w:tc>
      </w:tr>
    </w:tbl>
    <w:p>
      <w:pPr>
        <w:spacing w:after="20"/>
      </w:pPr>
    </w:p>
    <w:p>
      <w:pPr/>
      <w:r>
        <w:t>This guide gives your team a repeatable setup checklist, a timed run-of-show, and spoken lines you can split between three people. Replace “Presenter 1/2/3” with your names and rehearse the handoffs once.</w:t>
      </w:r>
    </w:p>
    <w:p>
      <w:pPr>
        <w:pStyle w:val="Heading1"/>
      </w:pPr>
      <w:r>
        <w:t>What you will demonstrate</w:t>
      </w:r>
    </w:p>
    <w:p>
      <w:pPr>
        <w:pStyle w:val="ListBullet"/>
        <w:spacing w:after="60"/>
      </w:pPr>
      <w:r>
        <w:t>A real browser dashboard connected to the SynapseMigrate API.</w:t>
      </w:r>
    </w:p>
    <w:p>
      <w:pPr>
        <w:pStyle w:val="ListBullet"/>
        <w:spacing w:after="60"/>
      </w:pPr>
      <w:r>
        <w:t>A bundled SQLite sample database with five related tables and 10 example rows.</w:t>
      </w:r>
    </w:p>
    <w:p>
      <w:pPr>
        <w:pStyle w:val="ListBullet"/>
        <w:spacing w:after="60"/>
      </w:pPr>
      <w:r>
        <w:t>Real schema introspection and real migration-plan generation through the project API.</w:t>
      </w:r>
    </w:p>
    <w:p>
      <w:pPr>
        <w:pStyle w:val="ListBullet"/>
        <w:spacing w:after="60"/>
      </w:pPr>
      <w:r>
        <w:t>A guided visual walkthrough that reads sample rows and previews document-shaped output.</w:t>
      </w:r>
    </w:p>
    <w:tbl>
      <w:tblPr>
        <w:tblW w:type="auto" w:w="0"/>
        <w:jc w:val="center"/>
        <w:tblLook w:firstColumn="1" w:firstRow="1" w:lastColumn="0" w:lastRow="0" w:noHBand="0" w:noVBand="1" w:val="04A0"/>
      </w:tblPr>
      <w:tblGrid>
        <w:gridCol w:w="9994"/>
      </w:tblGrid>
      <w:tr>
        <w:trPr>
          <w:cantSplit/>
        </w:trPr>
        <w:tc>
          <w:tcPr>
            <w:tcW w:type="dxa" w:w="9994"/>
            <w:shd w:fill="FFF5E5"/>
          </w:tcPr>
          <w:p>
            <w:pPr>
              <w:spacing w:after="40"/>
            </w:pPr>
            <w:r/>
            <w:r>
              <w:rPr>
                <w:b/>
                <w:color w:val="2F68C5"/>
              </w:rPr>
              <w:t xml:space="preserve">IMPORTANT ACCURACY NOTE  </w:t>
            </w:r>
            <w:r>
              <w:t>The guided walkthrough is a visualization, not a completed database migration. The API reads actual SQLite sample rows and validates a real generated plan, but it does not connect to MongoDB, write target records, or perform target verification. Say this clearly during the presentation.</w:t>
            </w:r>
          </w:p>
        </w:tc>
      </w:tr>
    </w:tbl>
    <w:p>
      <w:pPr>
        <w:spacing w:after="20"/>
      </w:pPr>
    </w:p>
    <w:p>
      <w:pPr>
        <w:pStyle w:val="Heading1"/>
      </w:pPr>
      <w:r>
        <w:t>Roles and timing</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254C83"/>
          </w:tcPr>
          <w:p>
            <w:pPr>
              <w:spacing w:after="40"/>
            </w:pPr>
            <w:r/>
            <w:r>
              <w:rPr>
                <w:b/>
                <w:color w:val="FFFFFF"/>
                <w:sz w:val="18"/>
              </w:rPr>
              <w:t>Presenter</w:t>
            </w:r>
          </w:p>
        </w:tc>
        <w:tc>
          <w:tcPr>
            <w:tcW w:type="dxa" w:w="2498"/>
            <w:vAlign w:val="center"/>
            <w:shd w:fill="254C83"/>
          </w:tcPr>
          <w:p>
            <w:pPr>
              <w:spacing w:after="40"/>
            </w:pPr>
            <w:r/>
            <w:r>
              <w:rPr>
                <w:b/>
                <w:color w:val="FFFFFF"/>
                <w:sz w:val="18"/>
              </w:rPr>
              <w:t>Time</w:t>
            </w:r>
          </w:p>
        </w:tc>
        <w:tc>
          <w:tcPr>
            <w:tcW w:type="dxa" w:w="2498"/>
            <w:vAlign w:val="center"/>
            <w:shd w:fill="254C83"/>
          </w:tcPr>
          <w:p>
            <w:pPr>
              <w:spacing w:after="40"/>
            </w:pPr>
            <w:r/>
            <w:r>
              <w:rPr>
                <w:b/>
                <w:color w:val="FFFFFF"/>
                <w:sz w:val="18"/>
              </w:rPr>
              <w:t>Owns</w:t>
            </w:r>
          </w:p>
        </w:tc>
        <w:tc>
          <w:tcPr>
            <w:tcW w:type="dxa" w:w="2498"/>
            <w:vAlign w:val="center"/>
            <w:shd w:fill="254C83"/>
          </w:tcPr>
          <w:p>
            <w:pPr>
              <w:spacing w:after="40"/>
            </w:pPr>
            <w:r/>
            <w:r>
              <w:rPr>
                <w:b/>
                <w:color w:val="FFFFFF"/>
                <w:sz w:val="18"/>
              </w:rPr>
              <w:t>Handoff line</w:t>
            </w:r>
          </w:p>
        </w:tc>
      </w:tr>
      <w:tr>
        <w:trPr>
          <w:cantSplit/>
        </w:trPr>
        <w:tc>
          <w:tcPr>
            <w:tcW w:type="dxa" w:w="2498"/>
            <w:vAlign w:val="center"/>
          </w:tcPr>
          <w:p>
            <w:pPr>
              <w:spacing w:after="40"/>
            </w:pPr>
            <w:r/>
            <w:r>
              <w:rPr>
                <w:b/>
                <w:sz w:val="16"/>
              </w:rPr>
              <w:t>1 · Context &amp; setup</w:t>
            </w:r>
          </w:p>
        </w:tc>
        <w:tc>
          <w:tcPr>
            <w:tcW w:type="dxa" w:w="2498"/>
            <w:vAlign w:val="center"/>
          </w:tcPr>
          <w:p>
            <w:pPr>
              <w:spacing w:after="40"/>
            </w:pPr>
            <w:r/>
            <w:r>
              <w:rPr>
                <w:b w:val="0"/>
                <w:sz w:val="16"/>
              </w:rPr>
              <w:t>0:00–1:30</w:t>
            </w:r>
          </w:p>
        </w:tc>
        <w:tc>
          <w:tcPr>
            <w:tcW w:type="dxa" w:w="2498"/>
            <w:vAlign w:val="center"/>
          </w:tcPr>
          <w:p>
            <w:pPr>
              <w:spacing w:after="40"/>
            </w:pPr>
            <w:r/>
            <w:r>
              <w:rPr>
                <w:b w:val="0"/>
                <w:sz w:val="16"/>
              </w:rPr>
              <w:t>Introduce the problem and connect the sample source.</w:t>
            </w:r>
          </w:p>
        </w:tc>
        <w:tc>
          <w:tcPr>
            <w:tcW w:type="dxa" w:w="2498"/>
            <w:vAlign w:val="center"/>
          </w:tcPr>
          <w:p>
            <w:pPr>
              <w:spacing w:after="40"/>
            </w:pPr>
            <w:r/>
            <w:r>
              <w:rPr>
                <w:b w:val="0"/>
                <w:sz w:val="16"/>
              </w:rPr>
              <w:t>“Now that our sample source is registered, Presenter 2 will inspect what SynapseMigrate discovers.”</w:t>
            </w:r>
          </w:p>
        </w:tc>
      </w:tr>
      <w:tr>
        <w:trPr>
          <w:cantSplit/>
        </w:trPr>
        <w:tc>
          <w:tcPr>
            <w:tcW w:type="dxa" w:w="2498"/>
            <w:vAlign w:val="center"/>
          </w:tcPr>
          <w:p>
            <w:pPr>
              <w:spacing w:after="40"/>
            </w:pPr>
            <w:r/>
            <w:r>
              <w:rPr>
                <w:b/>
                <w:sz w:val="16"/>
              </w:rPr>
              <w:t>2 · Schema analysis</w:t>
            </w:r>
          </w:p>
        </w:tc>
        <w:tc>
          <w:tcPr>
            <w:tcW w:type="dxa" w:w="2498"/>
            <w:vAlign w:val="center"/>
          </w:tcPr>
          <w:p>
            <w:pPr>
              <w:spacing w:after="40"/>
            </w:pPr>
            <w:r/>
            <w:r>
              <w:rPr>
                <w:b w:val="0"/>
                <w:sz w:val="16"/>
              </w:rPr>
              <w:t>1:30–3:15</w:t>
            </w:r>
          </w:p>
        </w:tc>
        <w:tc>
          <w:tcPr>
            <w:tcW w:type="dxa" w:w="2498"/>
            <w:vAlign w:val="center"/>
          </w:tcPr>
          <w:p>
            <w:pPr>
              <w:spacing w:after="40"/>
            </w:pPr>
            <w:r/>
            <w:r>
              <w:rPr>
                <w:b w:val="0"/>
                <w:sz w:val="16"/>
              </w:rPr>
              <w:t>Run schema analysis and explain the inferred model.</w:t>
            </w:r>
          </w:p>
        </w:tc>
        <w:tc>
          <w:tcPr>
            <w:tcW w:type="dxa" w:w="2498"/>
            <w:vAlign w:val="center"/>
          </w:tcPr>
          <w:p>
            <w:pPr>
              <w:spacing w:after="40"/>
            </w:pPr>
            <w:r/>
            <w:r>
              <w:rPr>
                <w:b w:val="0"/>
                <w:sz w:val="16"/>
              </w:rPr>
              <w:t>“We have reviewed the source structure. Presenter 3 will turn that analysis into a plan and walk through the flow.”</w:t>
            </w:r>
          </w:p>
        </w:tc>
      </w:tr>
      <w:tr>
        <w:trPr>
          <w:cantSplit/>
        </w:trPr>
        <w:tc>
          <w:tcPr>
            <w:tcW w:type="dxa" w:w="2498"/>
            <w:vAlign w:val="center"/>
          </w:tcPr>
          <w:p>
            <w:pPr>
              <w:spacing w:after="40"/>
            </w:pPr>
            <w:r/>
            <w:r>
              <w:rPr>
                <w:b/>
                <w:sz w:val="16"/>
              </w:rPr>
              <w:t>3 · Plan &amp; visualization</w:t>
            </w:r>
          </w:p>
        </w:tc>
        <w:tc>
          <w:tcPr>
            <w:tcW w:type="dxa" w:w="2498"/>
            <w:vAlign w:val="center"/>
          </w:tcPr>
          <w:p>
            <w:pPr>
              <w:spacing w:after="40"/>
            </w:pPr>
            <w:r/>
            <w:r>
              <w:rPr>
                <w:b w:val="0"/>
                <w:sz w:val="16"/>
              </w:rPr>
              <w:t>3:15–6:00</w:t>
            </w:r>
          </w:p>
        </w:tc>
        <w:tc>
          <w:tcPr>
            <w:tcW w:type="dxa" w:w="2498"/>
            <w:vAlign w:val="center"/>
          </w:tcPr>
          <w:p>
            <w:pPr>
              <w:spacing w:after="40"/>
            </w:pPr>
            <w:r/>
            <w:r>
              <w:rPr>
                <w:b w:val="0"/>
                <w:sz w:val="16"/>
              </w:rPr>
              <w:t>Generate the plan, run the guided demo, explain limits and takeaway.</w:t>
            </w:r>
          </w:p>
        </w:tc>
        <w:tc>
          <w:tcPr>
            <w:tcW w:type="dxa" w:w="2498"/>
            <w:vAlign w:val="center"/>
          </w:tcPr>
          <w:p>
            <w:pPr>
              <w:spacing w:after="40"/>
            </w:pPr>
            <w:r/>
            <w:r>
              <w:rPr>
                <w:b w:val="0"/>
                <w:sz w:val="16"/>
              </w:rPr>
              <w:t>Close with the distinction between planning, simulation, and a production run.</w:t>
            </w:r>
          </w:p>
        </w:tc>
      </w:tr>
    </w:tbl>
    <w:p>
      <w:pPr>
        <w:pStyle w:val="Heading1"/>
      </w:pPr>
      <w:r>
        <w:t>Before the presentation</w:t>
      </w:r>
    </w:p>
    <w:p>
      <w:pPr>
        <w:pStyle w:val="ListBullet"/>
        <w:spacing w:after="60"/>
      </w:pPr>
      <w:r>
        <w:t>Start the SynapseMigrate dashboard and API. Open http://localhost:8501 (or the preview URL your instructor provides).</w:t>
      </w:r>
    </w:p>
    <w:p>
      <w:pPr>
        <w:pStyle w:val="ListBullet"/>
        <w:spacing w:after="60"/>
      </w:pPr>
      <w:r>
        <w:t>Check the left sidebar says “API connected.” If authentication is requested, open API settings and use the configured demo token (in the local demo setup, this is usually dev-token).</w:t>
      </w:r>
    </w:p>
    <w:p>
      <w:pPr>
        <w:pStyle w:val="ListBullet"/>
        <w:spacing w:after="60"/>
      </w:pPr>
      <w:r>
        <w:t>Confirm the bundled file exists on the server at demo/synapsemigrate_demo.db. The dashboard obtains its server-side path from the authenticated demo API; do not type a host-machine path into the browser.</w:t>
      </w:r>
    </w:p>
    <w:p>
      <w:pPr>
        <w:pStyle w:val="ListBullet"/>
        <w:spacing w:after="60"/>
      </w:pPr>
      <w:r>
        <w:t>Use a desktop browser, maximize the window, and close unrelated tabs. Keep the dashboard visible during the demo.</w:t>
      </w:r>
    </w:p>
    <w:p>
      <w:pPr>
        <w:pStyle w:val="ListBullet"/>
        <w:spacing w:after="60"/>
      </w:pPr>
      <w:r>
        <w:t>If the demo source was already connected, reuse it from the Connections list rather than repeatedly creating duplicate connections.</w:t>
      </w:r>
    </w:p>
    <w:p>
      <w:pPr>
        <w:pStyle w:val="ListBullet"/>
        <w:spacing w:after="60"/>
      </w:pPr>
      <w:r>
        <w:t>Agree who controls the mouse. Suggested: Presenter 1 clicks Connect; Presenter 2 navigates and analyzes; Presenter 3 generates the plan and starts the walkthrough.</w:t>
      </w:r>
    </w:p>
    <w:p>
      <w:pPr>
        <w:pStyle w:val="Heading1"/>
      </w:pPr>
      <w:r>
        <w:t>Live demo: click-by-click</w:t>
      </w:r>
    </w:p>
    <w:p>
      <w:pPr>
        <w:spacing w:after="60"/>
      </w:pPr>
      <w:r>
        <w:rPr>
          <w:b/>
          <w:color w:val="2F68C5"/>
        </w:rPr>
        <w:t xml:space="preserve">1. Open the dashboard  </w:t>
      </w:r>
      <w:r>
        <w:t>Open the dashboard URL. Point out the navigation: Overview, Connections, Schema projects, and Migration jobs. Confirm the API status indicator is green.</w:t>
      </w:r>
    </w:p>
    <w:p>
      <w:pPr>
        <w:spacing w:after="60"/>
      </w:pPr>
      <w:r>
        <w:rPr>
          <w:b/>
          <w:color w:val="2F68C5"/>
        </w:rPr>
        <w:t xml:space="preserve">2. Register the sample source  </w:t>
      </w:r>
      <w:r>
        <w:t>On Overview, click “Connect SQLite demo.” The dashboard registers a source connection to the bundled example database. It does not run a migration. If already connected, skip this action and select the existing connection later.</w:t>
      </w:r>
    </w:p>
    <w:p>
      <w:pPr>
        <w:spacing w:after="60"/>
      </w:pPr>
      <w:r>
        <w:rPr>
          <w:b/>
          <w:color w:val="2F68C5"/>
        </w:rPr>
        <w:t xml:space="preserve">3. Analyze the schema  </w:t>
      </w:r>
      <w:r>
        <w:t>Open “Schema projects” and click “Analyze source.” Select “Bundled SQLite demo” and click “Analyze schema.” Wait for the project details to appear.</w:t>
      </w:r>
    </w:p>
    <w:p>
      <w:pPr>
        <w:spacing w:after="60"/>
      </w:pPr>
      <w:r>
        <w:rPr>
          <w:b/>
          <w:color w:val="2F68C5"/>
        </w:rPr>
        <w:t>4. Review what was found  Point out the five tables: users, orders, order_items, tags, and order_tags. Mention that the sample includes foreign keys, a composite primary key, and a many-to-many link table. The sample contains 10 rows in total (two per table).</w:t>
      </w:r>
      <w:r/>
    </w:p>
    <w:p>
      <w:pPr>
        <w:spacing w:after="60"/>
      </w:pPr>
      <w:r>
        <w:rPr>
          <w:b/>
          <w:color w:val="2F68C5"/>
        </w:rPr>
        <w:t xml:space="preserve">5. Run the guided walkthrough  </w:t>
      </w:r>
      <w:r>
        <w:t>In project details click “Run guided demo.” This calls the API to generate an approved SQLite-to-MongoDB plan, then reads sample rows to visualize the stages. Expand “Inspect sample document previews” to show examples.</w:t>
      </w:r>
    </w:p>
    <w:p>
      <w:pPr>
        <w:spacing w:after="60"/>
      </w:pPr>
      <w:r>
        <w:rPr>
          <w:b/>
          <w:color w:val="2F68C5"/>
        </w:rPr>
        <w:t xml:space="preserve">6. Explain the boundary  </w:t>
      </w:r>
      <w:r>
        <w:t>Show the status labels: the source read, plan validation, and document preview use real API/database work. MongoDB write and target verification are marked simulated. The summary should show 0 target writes.</w:t>
      </w:r>
    </w:p>
    <w:p>
      <w:r/>
    </w:p>
    <w:p>
      <w:pPr>
        <w:pStyle w:val="Heading1"/>
      </w:pPr>
      <w:r>
        <w:t>Three-person speaking script</w:t>
      </w:r>
    </w:p>
    <w:p>
      <w:r>
        <w:t>The script below is written to sound natural rather than like product documentation. Use the screen cues in brackets as reminders, not as lines to read aloud.</w:t>
      </w:r>
    </w:p>
    <w:p>
      <w:pPr>
        <w:pStyle w:val="Heading2"/>
      </w:pPr>
      <w:r>
        <w:t>PRESENTER 1 · CONTEXT &amp; SOURCE CONNECTION · ABOUT 90 SECONDS</w:t>
      </w:r>
    </w:p>
    <w:p>
      <w:pPr>
        <w:spacing w:after="140"/>
        <w:ind w:left="115"/>
      </w:pPr>
      <w:r>
        <w:rPr>
          <w:b/>
          <w:color w:val="68778D"/>
          <w:sz w:val="18"/>
        </w:rPr>
        <w:t xml:space="preserve">[Overview page; API indicator visible]  </w:t>
      </w:r>
      <w:r>
        <w:t>Hello. We are presenting SynapseMigrate, a tool for analyzing database structure and preparing data migrations. The goal is to make the source schema visible, review the migration decisions, and create a plan before anyone writes data to a destination.</w:t>
      </w:r>
    </w:p>
    <w:p>
      <w:pPr>
        <w:spacing w:after="140"/>
        <w:ind w:left="115"/>
      </w:pPr>
      <w:r>
        <w:rPr>
          <w:b/>
          <w:color w:val="68778D"/>
          <w:sz w:val="18"/>
        </w:rPr>
        <w:t xml:space="preserve">[Point to the navigation and quick-start card]  </w:t>
      </w:r>
      <w:r>
        <w:t>For this classroom demo we are using the bundled shop database. It has familiar entities—users, orders, order items, tags, and order tags—so we can focus on the migration workflow instead of spending time setting up database servers.</w:t>
      </w:r>
    </w:p>
    <w:p>
      <w:pPr>
        <w:spacing w:after="140"/>
        <w:ind w:left="115"/>
      </w:pPr>
      <w:r>
        <w:rPr>
          <w:b/>
          <w:color w:val="68778D"/>
          <w:sz w:val="18"/>
        </w:rPr>
        <w:t xml:space="preserve">[Click Connect SQLite demo; wait for success]  </w:t>
      </w:r>
      <w:r>
        <w:t>I am connecting the sample SQLite file as a source. This is an actual API request and the database is a real file in the demo environment. Connecting it only registers the source; it does not change the data or start a migration.</w:t>
      </w:r>
    </w:p>
    <w:p>
      <w:pPr>
        <w:spacing w:after="140"/>
        <w:ind w:left="115"/>
      </w:pPr>
      <w:r>
        <w:rPr>
          <w:b/>
          <w:color w:val="68778D"/>
          <w:sz w:val="18"/>
        </w:rPr>
        <w:t xml:space="preserve">[Transition]  </w:t>
      </w:r>
      <w:r>
        <w:t>The source is ready. Presenter 2 will ask SynapseMigrate to inspect it and explain the schema it discovers.</w:t>
      </w:r>
    </w:p>
    <w:p>
      <w:pPr>
        <w:pStyle w:val="Heading2"/>
      </w:pPr>
      <w:r>
        <w:t>PRESENTER 2 · SCHEMA ANALYSIS · ABOUT 105 SECONDS</w:t>
      </w:r>
    </w:p>
    <w:p>
      <w:pPr>
        <w:spacing w:after="140"/>
        <w:ind w:left="115"/>
      </w:pPr>
      <w:r>
        <w:rPr>
          <w:b/>
          <w:color w:val="68778D"/>
          <w:sz w:val="18"/>
        </w:rPr>
        <w:t xml:space="preserve">[Open Schema projects → Analyze source]  </w:t>
      </w:r>
      <w:r>
        <w:t>I will now analyze the source. I select the bundled SQLite connection and start schema analysis. The application inspects the database structure and creates a schema project that we can review.</w:t>
      </w:r>
    </w:p>
    <w:p>
      <w:pPr>
        <w:spacing w:after="140"/>
        <w:ind w:left="115"/>
      </w:pPr>
      <w:r>
        <w:rPr>
          <w:b/>
          <w:color w:val="68778D"/>
          <w:sz w:val="18"/>
        </w:rPr>
        <w:t xml:space="preserve">[Wait for project details]  </w:t>
      </w:r>
      <w:r>
        <w:t>The analysis found five tables: users, orders, order_items, tags, and order_tags. It also reads the key and relationship metadata, including a composite primary key on order_items and links between orders and tags.</w:t>
      </w:r>
    </w:p>
    <w:p>
      <w:pPr>
        <w:spacing w:after="140"/>
        <w:ind w:left="115"/>
      </w:pPr>
      <w:r>
        <w:rPr>
          <w:b/>
          <w:color w:val="68778D"/>
          <w:sz w:val="18"/>
        </w:rPr>
        <w:t xml:space="preserve">[Point to the relationships and project summary]  </w:t>
      </w:r>
      <w:r>
        <w:t>This review step matters because a migration is more than copying rows. The project captures how records relate, so a team can inspect the proposed structure before choosing a destination and running anything.</w:t>
      </w:r>
    </w:p>
    <w:p>
      <w:pPr>
        <w:spacing w:after="140"/>
        <w:ind w:left="115"/>
      </w:pPr>
      <w:r>
        <w:rPr>
          <w:b/>
          <w:color w:val="68778D"/>
          <w:sz w:val="18"/>
        </w:rPr>
        <w:t xml:space="preserve">[Transition to Presenter 3]  </w:t>
      </w:r>
      <w:r>
        <w:t>We have a real analyzed project. Presenter 3 will generate a migration plan and show a guided visualization of the flow, including which steps are real and which are simulated.</w:t>
      </w:r>
    </w:p>
    <w:p>
      <w:pPr>
        <w:pStyle w:val="Heading2"/>
      </w:pPr>
      <w:r>
        <w:t>PRESENTER 3 · PLAN, VISUALIZATION &amp; LIMITS · ABOUT 165 SECONDS</w:t>
      </w:r>
    </w:p>
    <w:p>
      <w:pPr>
        <w:spacing w:after="140"/>
        <w:ind w:left="115"/>
      </w:pPr>
      <w:r>
        <w:rPr>
          <w:b/>
          <w:color w:val="68778D"/>
          <w:sz w:val="18"/>
        </w:rPr>
        <w:t xml:space="preserve">[Click Run guided demo]  </w:t>
      </w:r>
      <w:r>
        <w:t>I am generating a plan for a MongoDB destination. Plan generation goes through the actual SynapseMigrate API and saves an immutable plan. For this classroom walkthrough, we do not have to connect a MongoDB server.</w:t>
      </w:r>
    </w:p>
    <w:p>
      <w:pPr>
        <w:spacing w:after="140"/>
        <w:ind w:left="115"/>
      </w:pPr>
      <w:r>
        <w:rPr>
          <w:b/>
          <w:color w:val="68778D"/>
          <w:sz w:val="18"/>
        </w:rPr>
        <w:t xml:space="preserve">[Wait for the timeline to render]  </w:t>
      </w:r>
      <w:r>
        <w:t>The walkthrough reads actual sample rows from the SQLite database, validates the generated plan, and prepares document-shaped previews. Here we can see the stages and the sample data the dashboard is illustrating.</w:t>
      </w:r>
    </w:p>
    <w:p>
      <w:pPr>
        <w:spacing w:after="140"/>
        <w:ind w:left="115"/>
      </w:pPr>
      <w:r>
        <w:rPr>
          <w:b/>
          <w:color w:val="68778D"/>
          <w:sz w:val="18"/>
        </w:rPr>
        <w:t xml:space="preserve">[Point to the summary and simulated steps]  </w:t>
      </w:r>
      <w:r>
        <w:t>Please notice the labels: MongoDB write and target verification are simulated, and the target-write count is zero. No MongoDB connection was opened and no records were written. This makes the demo safe to show without implying that a production migration has taken place.</w:t>
      </w:r>
    </w:p>
    <w:p>
      <w:pPr>
        <w:spacing w:after="140"/>
        <w:ind w:left="115"/>
      </w:pPr>
      <w:r>
        <w:rPr>
          <w:b/>
          <w:color w:val="68778D"/>
          <w:sz w:val="18"/>
        </w:rPr>
        <w:t xml:space="preserve">[Expand Inspect sample document previews; show one or two rows]  </w:t>
      </w:r>
      <w:r>
        <w:t>These previews make the source-to-document idea concrete. They are illustrative examples built from the sample records. A real migration run uses a reachable target connection, executes the ETL worker, and then can verify the target results.</w:t>
      </w:r>
    </w:p>
    <w:p>
      <w:pPr>
        <w:spacing w:after="140"/>
        <w:ind w:left="115"/>
      </w:pPr>
      <w:r>
        <w:rPr>
          <w:b/>
          <w:color w:val="68778D"/>
          <w:sz w:val="18"/>
        </w:rPr>
        <w:t xml:space="preserve">[Close]  </w:t>
      </w:r>
      <w:r>
        <w:t>To summarize: we connected a sample source, analyzed its schema, reviewed the result, generated a real plan, and visualized the workflow using sample rows. The dashboard separates plan review from execution so a real target can be connected when the team is ready. Thank you—what questions do you have?</w:t>
      </w:r>
    </w:p>
    <w:p>
      <w:pPr>
        <w:pStyle w:val="Heading1"/>
      </w:pPr>
      <w:r>
        <w:t>If something goes wrong</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vAlign w:val="center"/>
            <w:shd w:fill="254C83"/>
          </w:tcPr>
          <w:p>
            <w:pPr>
              <w:spacing w:after="40"/>
            </w:pPr>
            <w:r/>
            <w:r>
              <w:rPr>
                <w:b/>
                <w:color w:val="FFFFFF"/>
                <w:sz w:val="18"/>
              </w:rPr>
              <w:t>Situation</w:t>
            </w:r>
          </w:p>
        </w:tc>
        <w:tc>
          <w:tcPr>
            <w:tcW w:type="dxa" w:w="4997"/>
            <w:vAlign w:val="center"/>
            <w:shd w:fill="254C83"/>
          </w:tcPr>
          <w:p>
            <w:pPr>
              <w:spacing w:after="40"/>
            </w:pPr>
            <w:r/>
            <w:r>
              <w:rPr>
                <w:b/>
                <w:color w:val="FFFFFF"/>
                <w:sz w:val="18"/>
              </w:rPr>
              <w:t>What to do / say</w:t>
            </w:r>
          </w:p>
        </w:tc>
      </w:tr>
      <w:tr>
        <w:trPr>
          <w:cantSplit/>
        </w:trPr>
        <w:tc>
          <w:tcPr>
            <w:tcW w:type="dxa" w:w="4997"/>
            <w:vAlign w:val="center"/>
          </w:tcPr>
          <w:p>
            <w:pPr>
              <w:spacing w:after="40"/>
            </w:pPr>
            <w:r/>
            <w:r>
              <w:rPr>
                <w:b/>
                <w:sz w:val="16"/>
              </w:rPr>
              <w:t>API status is red</w:t>
            </w:r>
          </w:p>
        </w:tc>
        <w:tc>
          <w:tcPr>
            <w:tcW w:type="dxa" w:w="4997"/>
            <w:vAlign w:val="center"/>
          </w:tcPr>
          <w:p>
            <w:pPr>
              <w:spacing w:after="40"/>
            </w:pPr>
            <w:r/>
            <w:r>
              <w:rPr>
                <w:b w:val="0"/>
                <w:sz w:val="16"/>
              </w:rPr>
              <w:t>Check that the API/dashboard service is running and the API base URL/token in API settings are correct.</w:t>
            </w:r>
          </w:p>
        </w:tc>
      </w:tr>
      <w:tr>
        <w:trPr>
          <w:cantSplit/>
        </w:trPr>
        <w:tc>
          <w:tcPr>
            <w:tcW w:type="dxa" w:w="4997"/>
            <w:vAlign w:val="center"/>
          </w:tcPr>
          <w:p>
            <w:pPr>
              <w:spacing w:after="40"/>
            </w:pPr>
            <w:r/>
            <w:r>
              <w:rPr>
                <w:b/>
                <w:sz w:val="16"/>
              </w:rPr>
              <w:t>Demo source is missing</w:t>
            </w:r>
          </w:p>
        </w:tc>
        <w:tc>
          <w:tcPr>
            <w:tcW w:type="dxa" w:w="4997"/>
            <w:vAlign w:val="center"/>
          </w:tcPr>
          <w:p>
            <w:pPr>
              <w:spacing w:after="40"/>
            </w:pPr>
            <w:r/>
            <w:r>
              <w:rPr>
                <w:b w:val="0"/>
                <w:sz w:val="16"/>
              </w:rPr>
              <w:t>The demo database must exist in the server/container. Use the demo connection button, which asks the API for its actual server-side file path.</w:t>
            </w:r>
          </w:p>
        </w:tc>
      </w:tr>
      <w:tr>
        <w:trPr>
          <w:cantSplit/>
        </w:trPr>
        <w:tc>
          <w:tcPr>
            <w:tcW w:type="dxa" w:w="4997"/>
            <w:vAlign w:val="center"/>
          </w:tcPr>
          <w:p>
            <w:pPr>
              <w:spacing w:after="40"/>
            </w:pPr>
            <w:r/>
            <w:r>
              <w:rPr>
                <w:b/>
                <w:sz w:val="16"/>
              </w:rPr>
              <w:t>Analysis fails</w:t>
            </w:r>
          </w:p>
        </w:tc>
        <w:tc>
          <w:tcPr>
            <w:tcW w:type="dxa" w:w="4997"/>
            <w:vAlign w:val="center"/>
          </w:tcPr>
          <w:p>
            <w:pPr>
              <w:spacing w:after="40"/>
            </w:pPr>
            <w:r/>
            <w:r>
              <w:rPr>
                <w:b w:val="0"/>
                <w:sz w:val="16"/>
              </w:rPr>
              <w:t>Confirm the source is a SQLite source and reconnect it. If already connected, refresh and select that source before analyzing.</w:t>
            </w:r>
          </w:p>
        </w:tc>
      </w:tr>
      <w:tr>
        <w:trPr>
          <w:cantSplit/>
        </w:trPr>
        <w:tc>
          <w:tcPr>
            <w:tcW w:type="dxa" w:w="4997"/>
            <w:vAlign w:val="center"/>
          </w:tcPr>
          <w:p>
            <w:pPr>
              <w:spacing w:after="40"/>
            </w:pPr>
            <w:r/>
            <w:r>
              <w:rPr>
                <w:b/>
                <w:sz w:val="16"/>
              </w:rPr>
              <w:t>Guided demo reports a missing target/database issue</w:t>
            </w:r>
          </w:p>
        </w:tc>
        <w:tc>
          <w:tcPr>
            <w:tcW w:type="dxa" w:w="4997"/>
            <w:vAlign w:val="center"/>
          </w:tcPr>
          <w:p>
            <w:pPr>
              <w:spacing w:after="40"/>
            </w:pPr>
            <w:r/>
            <w:r>
              <w:rPr>
                <w:b w:val="0"/>
                <w:sz w:val="16"/>
              </w:rPr>
              <w:t>Confirm the project came from the SQLite demo, and use “Run guided demo” from that project. This pathway intentionally does not require a MongoDB server.</w:t>
            </w:r>
          </w:p>
        </w:tc>
      </w:tr>
      <w:tr>
        <w:trPr>
          <w:cantSplit/>
        </w:trPr>
        <w:tc>
          <w:tcPr>
            <w:tcW w:type="dxa" w:w="4997"/>
            <w:vAlign w:val="center"/>
          </w:tcPr>
          <w:p>
            <w:pPr>
              <w:spacing w:after="40"/>
            </w:pPr>
            <w:r/>
            <w:r>
              <w:rPr>
                <w:b/>
                <w:sz w:val="16"/>
              </w:rPr>
              <w:t>Plan generation requests advisory review</w:t>
            </w:r>
          </w:p>
        </w:tc>
        <w:tc>
          <w:tcPr>
            <w:tcW w:type="dxa" w:w="4997"/>
            <w:vAlign w:val="center"/>
          </w:tcPr>
          <w:p>
            <w:pPr>
              <w:spacing w:after="40"/>
            </w:pPr>
            <w:r/>
            <w:r>
              <w:rPr>
                <w:b w:val="0"/>
                <w:sz w:val="16"/>
              </w:rPr>
              <w:t>Read the advisory and use the standard plan-review workflow. Do not claim the guided flow bypasses a required approval.</w:t>
            </w:r>
          </w:p>
        </w:tc>
      </w:tr>
      <w:tr>
        <w:trPr>
          <w:cantSplit/>
        </w:trPr>
        <w:tc>
          <w:tcPr>
            <w:tcW w:type="dxa" w:w="4997"/>
            <w:vAlign w:val="center"/>
          </w:tcPr>
          <w:p>
            <w:pPr>
              <w:spacing w:after="40"/>
            </w:pPr>
            <w:r/>
            <w:r>
              <w:rPr>
                <w:b/>
                <w:sz w:val="16"/>
              </w:rPr>
              <w:t>The teacher asks whether a migration really ran</w:t>
            </w:r>
          </w:p>
        </w:tc>
        <w:tc>
          <w:tcPr>
            <w:tcW w:type="dxa" w:w="4997"/>
            <w:vAlign w:val="center"/>
          </w:tcPr>
          <w:p>
            <w:pPr>
              <w:spacing w:after="40"/>
            </w:pPr>
            <w:r/>
            <w:r>
              <w:rPr>
                <w:b w:val="0"/>
                <w:sz w:val="16"/>
              </w:rPr>
              <w:t>Answer: “The analysis and plan generation are real. We read real example rows for the visualization. The MongoDB write and verification steps were simulated; no target writes occurred.”</w:t>
            </w:r>
          </w:p>
        </w:tc>
      </w:tr>
    </w:tbl>
    <w:p>
      <w:pPr>
        <w:pStyle w:val="Heading1"/>
      </w:pPr>
      <w:r>
        <w:t>Quick facts for questions</w:t>
      </w:r>
    </w:p>
    <w:p>
      <w:pPr>
        <w:pStyle w:val="ListBullet"/>
        <w:spacing w:after="60"/>
      </w:pPr>
      <w:r>
        <w:t>Sample source: bundled SQLite file, demo/synapsemigrate_demo.db.</w:t>
      </w:r>
    </w:p>
    <w:p>
      <w:pPr>
        <w:pStyle w:val="ListBullet"/>
        <w:spacing w:after="60"/>
      </w:pPr>
      <w:r>
        <w:t>Sample tables: users, orders, order_items, tags, order_tags; 10 total seeded rows (two per table).</w:t>
      </w:r>
    </w:p>
    <w:p>
      <w:pPr>
        <w:pStyle w:val="ListBullet"/>
        <w:spacing w:after="60"/>
      </w:pPr>
      <w:r>
        <w:t>Real parts of this walkthrough: API health/authentication, registering the source, schema introspection, plan generation, reading sample rows, displaying previews.</w:t>
      </w:r>
    </w:p>
    <w:p>
      <w:pPr>
        <w:pStyle w:val="ListBullet"/>
        <w:spacing w:after="60"/>
      </w:pPr>
      <w:r>
        <w:t>Simulated parts: writing to MongoDB, reporting target migration completion, and target-side verification.</w:t>
      </w:r>
    </w:p>
    <w:p>
      <w:pPr>
        <w:pStyle w:val="ListBullet"/>
        <w:spacing w:after="60"/>
      </w:pPr>
      <w:r>
        <w:t>To demonstrate a real execution, configure a reachable MongoDB target and use the migration execution workflow—not the visualization-only button.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195"/>
        <w:sz w:val="16"/>
      </w:rPr>
      <w:t xml:space="preserve">SynapseMigrate  •  Guided demo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97C97"/>
      </w:rPr>
      <w:t>SYNAPSEMIGRATE  /  CLASSROOM DEMO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3A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2E5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68C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68C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E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SynapseMigrate Three-Person Demo Guide</dc:title>
  <dc:subject>Setup instructions and three-presenter classroom demo script</dc:subject>
  <dc:creator>SynapseMigrate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