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1268966"/>
        <w:docPartObj>
          <w:docPartGallery w:val="Cover Pages"/>
          <w:docPartUnique/>
        </w:docPartObj>
      </w:sdtPr>
      <w:sdtEndPr/>
      <w:sdtContent>
        <w:p w14:paraId="341B3CEE" w14:textId="721D2BBD" w:rsidR="00332C48" w:rsidRDefault="00332C48">
          <w:r>
            <w:rPr>
              <w:noProof/>
            </w:rPr>
            <mc:AlternateContent>
              <mc:Choice Requires="wpg">
                <w:drawing>
                  <wp:anchor distT="0" distB="0" distL="114300" distR="114300" simplePos="0" relativeHeight="251659776" behindDoc="0" locked="0" layoutInCell="1" allowOverlap="1" wp14:anchorId="13FD47FC" wp14:editId="76BF59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AF4989"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25EC8878" wp14:editId="7E3C2EB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A9C29A" w14:textId="5B5C0A67" w:rsidR="00332C48" w:rsidRDefault="00332C48">
                                    <w:pPr>
                                      <w:pStyle w:val="NoSpacing"/>
                                      <w:jc w:val="right"/>
                                      <w:rPr>
                                        <w:color w:val="595959" w:themeColor="text1" w:themeTint="A6"/>
                                        <w:sz w:val="28"/>
                                        <w:szCs w:val="28"/>
                                      </w:rPr>
                                    </w:pPr>
                                    <w:r>
                                      <w:rPr>
                                        <w:color w:val="595959" w:themeColor="text1" w:themeTint="A6"/>
                                        <w:sz w:val="28"/>
                                        <w:szCs w:val="28"/>
                                      </w:rPr>
                                      <w:t>Frank de Jong</w:t>
                                    </w:r>
                                  </w:p>
                                </w:sdtContent>
                              </w:sdt>
                              <w:p w14:paraId="6A9B8F0B" w14:textId="77777777" w:rsidR="00332C48" w:rsidRDefault="0097779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32C48">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EC8878"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A9C29A" w14:textId="5B5C0A67" w:rsidR="00332C48" w:rsidRDefault="00332C48">
                              <w:pPr>
                                <w:pStyle w:val="NoSpacing"/>
                                <w:jc w:val="right"/>
                                <w:rPr>
                                  <w:color w:val="595959" w:themeColor="text1" w:themeTint="A6"/>
                                  <w:sz w:val="28"/>
                                  <w:szCs w:val="28"/>
                                </w:rPr>
                              </w:pPr>
                              <w:r>
                                <w:rPr>
                                  <w:color w:val="595959" w:themeColor="text1" w:themeTint="A6"/>
                                  <w:sz w:val="28"/>
                                  <w:szCs w:val="28"/>
                                </w:rPr>
                                <w:t>Frank de Jong</w:t>
                              </w:r>
                            </w:p>
                          </w:sdtContent>
                        </w:sdt>
                        <w:p w14:paraId="6A9B8F0B" w14:textId="77777777" w:rsidR="00332C48" w:rsidRDefault="0097779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32C48">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2D6E7EC5" wp14:editId="6423EF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F445C" w14:textId="6F4968A5" w:rsidR="00332C48" w:rsidRDefault="0097779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2C48">
                                      <w:rPr>
                                        <w:caps/>
                                        <w:color w:val="4F81BD" w:themeColor="accent1"/>
                                        <w:sz w:val="64"/>
                                        <w:szCs w:val="64"/>
                                      </w:rPr>
                                      <w:t>Descriptors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3E6EF1" w14:textId="372D07AD" w:rsidR="00332C48" w:rsidRDefault="00332C48">
                                    <w:pPr>
                                      <w:jc w:val="right"/>
                                      <w:rPr>
                                        <w:smallCaps/>
                                        <w:color w:val="404040" w:themeColor="text1" w:themeTint="BF"/>
                                        <w:sz w:val="36"/>
                                        <w:szCs w:val="36"/>
                                      </w:rPr>
                                    </w:pPr>
                                    <w:r>
                                      <w:rPr>
                                        <w:color w:val="404040" w:themeColor="text1" w:themeTint="BF"/>
                                        <w:sz w:val="36"/>
                                        <w:szCs w:val="36"/>
                                      </w:rPr>
                                      <w:t>How to generate them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6E7EC5"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78F445C" w14:textId="6F4968A5" w:rsidR="00332C48" w:rsidRDefault="0097779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2C48">
                                <w:rPr>
                                  <w:caps/>
                                  <w:color w:val="4F81BD" w:themeColor="accent1"/>
                                  <w:sz w:val="64"/>
                                  <w:szCs w:val="64"/>
                                </w:rPr>
                                <w:t>Descriptors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3E6EF1" w14:textId="372D07AD" w:rsidR="00332C48" w:rsidRDefault="00332C48">
                              <w:pPr>
                                <w:jc w:val="right"/>
                                <w:rPr>
                                  <w:smallCaps/>
                                  <w:color w:val="404040" w:themeColor="text1" w:themeTint="BF"/>
                                  <w:sz w:val="36"/>
                                  <w:szCs w:val="36"/>
                                </w:rPr>
                              </w:pPr>
                              <w:r>
                                <w:rPr>
                                  <w:color w:val="404040" w:themeColor="text1" w:themeTint="BF"/>
                                  <w:sz w:val="36"/>
                                  <w:szCs w:val="36"/>
                                </w:rPr>
                                <w:t>How to generate them</w:t>
                              </w:r>
                            </w:p>
                          </w:sdtContent>
                        </w:sdt>
                      </w:txbxContent>
                    </v:textbox>
                    <w10:wrap type="square" anchorx="page" anchory="page"/>
                  </v:shape>
                </w:pict>
              </mc:Fallback>
            </mc:AlternateContent>
          </w:r>
        </w:p>
        <w:p w14:paraId="72E6923D" w14:textId="01037F41" w:rsidR="00332C48" w:rsidRDefault="00332C48">
          <w:r>
            <w:br w:type="page"/>
          </w:r>
        </w:p>
      </w:sdtContent>
    </w:sdt>
    <w:sdt>
      <w:sdtPr>
        <w:rPr>
          <w:rFonts w:ascii="Bookman Old Style" w:eastAsiaTheme="minorHAnsi" w:hAnsi="Bookman Old Style" w:cstheme="minorBidi"/>
          <w:color w:val="auto"/>
          <w:sz w:val="24"/>
          <w:szCs w:val="22"/>
        </w:rPr>
        <w:id w:val="951524651"/>
        <w:docPartObj>
          <w:docPartGallery w:val="Table of Contents"/>
          <w:docPartUnique/>
        </w:docPartObj>
      </w:sdtPr>
      <w:sdtEndPr>
        <w:rPr>
          <w:b/>
          <w:bCs/>
          <w:noProof/>
        </w:rPr>
      </w:sdtEndPr>
      <w:sdtContent>
        <w:p w14:paraId="09524A0B" w14:textId="31DD92F8" w:rsidR="00332C48" w:rsidRDefault="00332C48">
          <w:pPr>
            <w:pStyle w:val="TOCHeading"/>
          </w:pPr>
          <w:r>
            <w:t>Table of Contents</w:t>
          </w:r>
        </w:p>
        <w:p w14:paraId="273D8F0B" w14:textId="23F3A013" w:rsidR="000904B2" w:rsidRDefault="00332C48">
          <w:pPr>
            <w:pStyle w:val="TOC1"/>
            <w:tabs>
              <w:tab w:val="right" w:leader="dot" w:pos="9350"/>
            </w:tabs>
            <w:rPr>
              <w:rFonts w:cstheme="minorBidi"/>
              <w:noProof/>
              <w:lang w:val="en-NL" w:eastAsia="en-NL"/>
            </w:rPr>
          </w:pPr>
          <w:r>
            <w:rPr>
              <w:b/>
              <w:bCs/>
              <w:noProof/>
            </w:rPr>
            <w:fldChar w:fldCharType="begin"/>
          </w:r>
          <w:r>
            <w:rPr>
              <w:b/>
              <w:bCs/>
              <w:noProof/>
            </w:rPr>
            <w:instrText xml:space="preserve"> TOC \o "1-3" \h \z \u </w:instrText>
          </w:r>
          <w:r>
            <w:rPr>
              <w:b/>
              <w:bCs/>
              <w:noProof/>
            </w:rPr>
            <w:fldChar w:fldCharType="separate"/>
          </w:r>
          <w:hyperlink w:anchor="_Toc534636709" w:history="1">
            <w:r w:rsidR="000904B2" w:rsidRPr="00C72980">
              <w:rPr>
                <w:rStyle w:val="Hyperlink"/>
                <w:noProof/>
              </w:rPr>
              <w:t>General info</w:t>
            </w:r>
            <w:r w:rsidR="000904B2">
              <w:rPr>
                <w:noProof/>
                <w:webHidden/>
              </w:rPr>
              <w:tab/>
            </w:r>
            <w:r w:rsidR="000904B2">
              <w:rPr>
                <w:noProof/>
                <w:webHidden/>
              </w:rPr>
              <w:fldChar w:fldCharType="begin"/>
            </w:r>
            <w:r w:rsidR="000904B2">
              <w:rPr>
                <w:noProof/>
                <w:webHidden/>
              </w:rPr>
              <w:instrText xml:space="preserve"> PAGEREF _Toc534636709 \h </w:instrText>
            </w:r>
            <w:r w:rsidR="000904B2">
              <w:rPr>
                <w:noProof/>
                <w:webHidden/>
              </w:rPr>
            </w:r>
            <w:r w:rsidR="000904B2">
              <w:rPr>
                <w:noProof/>
                <w:webHidden/>
              </w:rPr>
              <w:fldChar w:fldCharType="separate"/>
            </w:r>
            <w:r w:rsidR="000904B2">
              <w:rPr>
                <w:noProof/>
                <w:webHidden/>
              </w:rPr>
              <w:t>2</w:t>
            </w:r>
            <w:r w:rsidR="000904B2">
              <w:rPr>
                <w:noProof/>
                <w:webHidden/>
              </w:rPr>
              <w:fldChar w:fldCharType="end"/>
            </w:r>
          </w:hyperlink>
        </w:p>
        <w:p w14:paraId="7FA57348" w14:textId="2CBA562F" w:rsidR="000904B2" w:rsidRDefault="00977795">
          <w:pPr>
            <w:pStyle w:val="TOC2"/>
            <w:tabs>
              <w:tab w:val="right" w:leader="dot" w:pos="9350"/>
            </w:tabs>
            <w:rPr>
              <w:rFonts w:cstheme="minorBidi"/>
              <w:noProof/>
              <w:lang w:val="en-NL" w:eastAsia="en-NL"/>
            </w:rPr>
          </w:pPr>
          <w:hyperlink w:anchor="_Toc534636710" w:history="1">
            <w:r w:rsidR="000904B2" w:rsidRPr="00C72980">
              <w:rPr>
                <w:rStyle w:val="Hyperlink"/>
                <w:noProof/>
              </w:rPr>
              <w:t>Types</w:t>
            </w:r>
            <w:r w:rsidR="000904B2">
              <w:rPr>
                <w:noProof/>
                <w:webHidden/>
              </w:rPr>
              <w:tab/>
            </w:r>
            <w:r w:rsidR="000904B2">
              <w:rPr>
                <w:noProof/>
                <w:webHidden/>
              </w:rPr>
              <w:fldChar w:fldCharType="begin"/>
            </w:r>
            <w:r w:rsidR="000904B2">
              <w:rPr>
                <w:noProof/>
                <w:webHidden/>
              </w:rPr>
              <w:instrText xml:space="preserve"> PAGEREF _Toc534636710 \h </w:instrText>
            </w:r>
            <w:r w:rsidR="000904B2">
              <w:rPr>
                <w:noProof/>
                <w:webHidden/>
              </w:rPr>
            </w:r>
            <w:r w:rsidR="000904B2">
              <w:rPr>
                <w:noProof/>
                <w:webHidden/>
              </w:rPr>
              <w:fldChar w:fldCharType="separate"/>
            </w:r>
            <w:r w:rsidR="000904B2">
              <w:rPr>
                <w:noProof/>
                <w:webHidden/>
              </w:rPr>
              <w:t>2</w:t>
            </w:r>
            <w:r w:rsidR="000904B2">
              <w:rPr>
                <w:noProof/>
                <w:webHidden/>
              </w:rPr>
              <w:fldChar w:fldCharType="end"/>
            </w:r>
          </w:hyperlink>
        </w:p>
        <w:p w14:paraId="09448CA4" w14:textId="3E000630" w:rsidR="000904B2" w:rsidRDefault="00977795">
          <w:pPr>
            <w:pStyle w:val="TOC2"/>
            <w:tabs>
              <w:tab w:val="right" w:leader="dot" w:pos="9350"/>
            </w:tabs>
            <w:rPr>
              <w:rFonts w:cstheme="minorBidi"/>
              <w:noProof/>
              <w:lang w:val="en-NL" w:eastAsia="en-NL"/>
            </w:rPr>
          </w:pPr>
          <w:hyperlink w:anchor="_Toc534636711" w:history="1">
            <w:r w:rsidR="000904B2" w:rsidRPr="00C72980">
              <w:rPr>
                <w:rStyle w:val="Hyperlink"/>
                <w:noProof/>
              </w:rPr>
              <w:t>Sets and bindings in GLSL</w:t>
            </w:r>
            <w:r w:rsidR="000904B2">
              <w:rPr>
                <w:noProof/>
                <w:webHidden/>
              </w:rPr>
              <w:tab/>
            </w:r>
            <w:r w:rsidR="000904B2">
              <w:rPr>
                <w:noProof/>
                <w:webHidden/>
              </w:rPr>
              <w:fldChar w:fldCharType="begin"/>
            </w:r>
            <w:r w:rsidR="000904B2">
              <w:rPr>
                <w:noProof/>
                <w:webHidden/>
              </w:rPr>
              <w:instrText xml:space="preserve"> PAGEREF _Toc534636711 \h </w:instrText>
            </w:r>
            <w:r w:rsidR="000904B2">
              <w:rPr>
                <w:noProof/>
                <w:webHidden/>
              </w:rPr>
            </w:r>
            <w:r w:rsidR="000904B2">
              <w:rPr>
                <w:noProof/>
                <w:webHidden/>
              </w:rPr>
              <w:fldChar w:fldCharType="separate"/>
            </w:r>
            <w:r w:rsidR="000904B2">
              <w:rPr>
                <w:noProof/>
                <w:webHidden/>
              </w:rPr>
              <w:t>3</w:t>
            </w:r>
            <w:r w:rsidR="000904B2">
              <w:rPr>
                <w:noProof/>
                <w:webHidden/>
              </w:rPr>
              <w:fldChar w:fldCharType="end"/>
            </w:r>
          </w:hyperlink>
        </w:p>
        <w:p w14:paraId="34EF4CA2" w14:textId="7E6C992F" w:rsidR="00332C48" w:rsidRDefault="00332C48">
          <w:r>
            <w:rPr>
              <w:b/>
              <w:bCs/>
              <w:noProof/>
            </w:rPr>
            <w:fldChar w:fldCharType="end"/>
          </w:r>
        </w:p>
      </w:sdtContent>
    </w:sdt>
    <w:p w14:paraId="1A3E1185" w14:textId="2357833C" w:rsidR="00332C48" w:rsidRDefault="00332C48">
      <w:r>
        <w:br w:type="page"/>
      </w:r>
    </w:p>
    <w:p w14:paraId="6F52517C" w14:textId="3D0F79D8" w:rsidR="00841B0C" w:rsidRDefault="003D32CF" w:rsidP="003D32CF">
      <w:pPr>
        <w:pStyle w:val="Heading1"/>
      </w:pPr>
      <w:bookmarkStart w:id="0" w:name="_Toc534636709"/>
      <w:r>
        <w:lastRenderedPageBreak/>
        <w:t>General info</w:t>
      </w:r>
      <w:bookmarkEnd w:id="0"/>
    </w:p>
    <w:p w14:paraId="243C6E0A" w14:textId="36CC6CB2" w:rsidR="003D32CF" w:rsidRDefault="003D32CF" w:rsidP="003D32CF">
      <w:r>
        <w:t>Descriptors are used to describe uniform data inside one or multiple shaders. They can describe matrices, vectors, images, samplers etc. These descriptors are closely interconnected with the SPIR-V language as they have some features that can only be used if one doesn’t use the GLSL or HLSL languages.</w:t>
      </w:r>
    </w:p>
    <w:p w14:paraId="5B72CC64" w14:textId="78A85FBD" w:rsidR="003D32CF" w:rsidRDefault="00852CDB" w:rsidP="00852CDB">
      <w:pPr>
        <w:pStyle w:val="Heading2"/>
      </w:pPr>
      <w:bookmarkStart w:id="1" w:name="_Toc534636710"/>
      <w:r>
        <w:t>Types</w:t>
      </w:r>
      <w:bookmarkEnd w:id="1"/>
    </w:p>
    <w:tbl>
      <w:tblPr>
        <w:tblStyle w:val="GridTable1Light"/>
        <w:tblW w:w="0" w:type="auto"/>
        <w:tblLook w:val="04A0" w:firstRow="1" w:lastRow="0" w:firstColumn="1" w:lastColumn="0" w:noHBand="0" w:noVBand="1"/>
      </w:tblPr>
      <w:tblGrid>
        <w:gridCol w:w="3510"/>
        <w:gridCol w:w="1560"/>
        <w:gridCol w:w="4506"/>
      </w:tblGrid>
      <w:tr w:rsidR="00852CDB" w14:paraId="6EC7CFE4" w14:textId="02C69FA1" w:rsidTr="00852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70BF0C" w14:textId="746E02EA" w:rsidR="00852CDB" w:rsidRDefault="00852CDB" w:rsidP="00852CDB">
            <w:r>
              <w:t>Name</w:t>
            </w:r>
          </w:p>
        </w:tc>
        <w:tc>
          <w:tcPr>
            <w:tcW w:w="1560" w:type="dxa"/>
          </w:tcPr>
          <w:p w14:paraId="565DFD35" w14:textId="22665990" w:rsidR="00852CDB" w:rsidRDefault="00852CDB" w:rsidP="00852CDB">
            <w:pPr>
              <w:cnfStyle w:val="100000000000" w:firstRow="1" w:lastRow="0" w:firstColumn="0" w:lastColumn="0" w:oddVBand="0" w:evenVBand="0" w:oddHBand="0" w:evenHBand="0" w:firstRowFirstColumn="0" w:firstRowLastColumn="0" w:lastRowFirstColumn="0" w:lastRowLastColumn="0"/>
            </w:pPr>
            <w:r>
              <w:t>Usefulness</w:t>
            </w:r>
          </w:p>
        </w:tc>
        <w:tc>
          <w:tcPr>
            <w:tcW w:w="4506" w:type="dxa"/>
          </w:tcPr>
          <w:p w14:paraId="18E69C23" w14:textId="04EBD1AC" w:rsidR="00852CDB" w:rsidRDefault="008E2706" w:rsidP="00852CDB">
            <w:pPr>
              <w:cnfStyle w:val="100000000000" w:firstRow="1" w:lastRow="0" w:firstColumn="0" w:lastColumn="0" w:oddVBand="0" w:evenVBand="0" w:oddHBand="0" w:evenHBand="0" w:firstRowFirstColumn="0" w:firstRowLastColumn="0" w:lastRowFirstColumn="0" w:lastRowLastColumn="0"/>
            </w:pPr>
            <w:r>
              <w:t>GLSL</w:t>
            </w:r>
            <w:r w:rsidR="00852CDB">
              <w:t xml:space="preserve"> equivalent</w:t>
            </w:r>
          </w:p>
        </w:tc>
      </w:tr>
      <w:tr w:rsidR="00852CDB" w14:paraId="5C299B2B" w14:textId="6200AA7B" w:rsidTr="00852CDB">
        <w:tc>
          <w:tcPr>
            <w:cnfStyle w:val="001000000000" w:firstRow="0" w:lastRow="0" w:firstColumn="1" w:lastColumn="0" w:oddVBand="0" w:evenVBand="0" w:oddHBand="0" w:evenHBand="0" w:firstRowFirstColumn="0" w:firstRowLastColumn="0" w:lastRowFirstColumn="0" w:lastRowLastColumn="0"/>
            <w:tcW w:w="3510" w:type="dxa"/>
          </w:tcPr>
          <w:p w14:paraId="027F3E6A" w14:textId="07E73DF2" w:rsidR="00852CDB" w:rsidRDefault="00852CDB" w:rsidP="00852CDB">
            <w:r>
              <w:t>Storage Image</w:t>
            </w:r>
          </w:p>
        </w:tc>
        <w:tc>
          <w:tcPr>
            <w:tcW w:w="1560" w:type="dxa"/>
          </w:tcPr>
          <w:p w14:paraId="668A213A" w14:textId="4468B8BA" w:rsidR="00852CDB" w:rsidRDefault="00852CDB"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4E991144" w14:textId="7973C221" w:rsidR="00852CDB" w:rsidRDefault="00852CDB"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14436BB3" w14:textId="61383CB6" w:rsidTr="00852CDB">
        <w:tc>
          <w:tcPr>
            <w:cnfStyle w:val="001000000000" w:firstRow="0" w:lastRow="0" w:firstColumn="1" w:lastColumn="0" w:oddVBand="0" w:evenVBand="0" w:oddHBand="0" w:evenHBand="0" w:firstRowFirstColumn="0" w:firstRowLastColumn="0" w:lastRowFirstColumn="0" w:lastRowLastColumn="0"/>
            <w:tcW w:w="3510" w:type="dxa"/>
          </w:tcPr>
          <w:p w14:paraId="43329D15" w14:textId="03E6A5F2" w:rsidR="00852CDB" w:rsidRDefault="00852CDB" w:rsidP="00852CDB">
            <w:r>
              <w:t>Sampler</w:t>
            </w:r>
          </w:p>
        </w:tc>
        <w:tc>
          <w:tcPr>
            <w:tcW w:w="1560" w:type="dxa"/>
          </w:tcPr>
          <w:p w14:paraId="07C10E04" w14:textId="583B52B5" w:rsidR="00852CDB" w:rsidRDefault="00852CDB"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457DF83F" w14:textId="3AA71467" w:rsidR="00852CDB" w:rsidRDefault="00852CDB"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26FA405A" w14:textId="0CA95278" w:rsidTr="00852CDB">
        <w:tc>
          <w:tcPr>
            <w:cnfStyle w:val="001000000000" w:firstRow="0" w:lastRow="0" w:firstColumn="1" w:lastColumn="0" w:oddVBand="0" w:evenVBand="0" w:oddHBand="0" w:evenHBand="0" w:firstRowFirstColumn="0" w:firstRowLastColumn="0" w:lastRowFirstColumn="0" w:lastRowLastColumn="0"/>
            <w:tcW w:w="3510" w:type="dxa"/>
          </w:tcPr>
          <w:p w14:paraId="502AB350" w14:textId="65E2F6A6" w:rsidR="00852CDB" w:rsidRDefault="00852CDB" w:rsidP="00852CDB">
            <w:r>
              <w:t>Sampled Image</w:t>
            </w:r>
          </w:p>
        </w:tc>
        <w:tc>
          <w:tcPr>
            <w:tcW w:w="1560" w:type="dxa"/>
          </w:tcPr>
          <w:p w14:paraId="112DD969" w14:textId="6433B265" w:rsidR="00852CDB" w:rsidRDefault="00852CDB"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56CD874E" w14:textId="4D52E6C3" w:rsidR="00852CDB" w:rsidRDefault="00852CDB"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39383EB6" w14:textId="25CCA0A4" w:rsidTr="00852CDB">
        <w:tc>
          <w:tcPr>
            <w:cnfStyle w:val="001000000000" w:firstRow="0" w:lastRow="0" w:firstColumn="1" w:lastColumn="0" w:oddVBand="0" w:evenVBand="0" w:oddHBand="0" w:evenHBand="0" w:firstRowFirstColumn="0" w:firstRowLastColumn="0" w:lastRowFirstColumn="0" w:lastRowLastColumn="0"/>
            <w:tcW w:w="3510" w:type="dxa"/>
          </w:tcPr>
          <w:p w14:paraId="734C7DE3" w14:textId="3D641B42" w:rsidR="00852CDB" w:rsidRDefault="00852CDB" w:rsidP="00852CDB">
            <w:r>
              <w:t>Combined Image Sampler</w:t>
            </w:r>
          </w:p>
        </w:tc>
        <w:tc>
          <w:tcPr>
            <w:tcW w:w="1560" w:type="dxa"/>
          </w:tcPr>
          <w:p w14:paraId="588674B6" w14:textId="2ECB67A5" w:rsidR="00852CDB" w:rsidRDefault="00852CDB"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363B7D3C" w14:textId="66904F7E" w:rsidR="00852CDB" w:rsidRDefault="00852CDB" w:rsidP="00852CDB">
            <w:pPr>
              <w:cnfStyle w:val="000000000000" w:firstRow="0" w:lastRow="0" w:firstColumn="0" w:lastColumn="0" w:oddVBand="0" w:evenVBand="0" w:oddHBand="0" w:evenHBand="0" w:firstRowFirstColumn="0" w:firstRowLastColumn="0" w:lastRowFirstColumn="0" w:lastRowLastColumn="0"/>
            </w:pPr>
            <w:r>
              <w:t>Sampler</w:t>
            </w:r>
          </w:p>
        </w:tc>
      </w:tr>
      <w:tr w:rsidR="00852CDB" w14:paraId="7E4A7084" w14:textId="23402F7B" w:rsidTr="00852CDB">
        <w:tc>
          <w:tcPr>
            <w:cnfStyle w:val="001000000000" w:firstRow="0" w:lastRow="0" w:firstColumn="1" w:lastColumn="0" w:oddVBand="0" w:evenVBand="0" w:oddHBand="0" w:evenHBand="0" w:firstRowFirstColumn="0" w:firstRowLastColumn="0" w:lastRowFirstColumn="0" w:lastRowLastColumn="0"/>
            <w:tcW w:w="3510" w:type="dxa"/>
          </w:tcPr>
          <w:p w14:paraId="79012D78" w14:textId="0F803FAA" w:rsidR="00852CDB" w:rsidRDefault="00852CDB" w:rsidP="00852CDB">
            <w:r>
              <w:t>Uniform Texel Buffer</w:t>
            </w:r>
          </w:p>
        </w:tc>
        <w:tc>
          <w:tcPr>
            <w:tcW w:w="1560" w:type="dxa"/>
          </w:tcPr>
          <w:p w14:paraId="3D3A3D32" w14:textId="68609B32" w:rsidR="00852CDB" w:rsidRDefault="0028793A" w:rsidP="00852CDB">
            <w:pPr>
              <w:cnfStyle w:val="000000000000" w:firstRow="0" w:lastRow="0" w:firstColumn="0" w:lastColumn="0" w:oddVBand="0" w:evenVBand="0" w:oddHBand="0" w:evenHBand="0" w:firstRowFirstColumn="0" w:firstRowLastColumn="0" w:lastRowFirstColumn="0" w:lastRowLastColumn="0"/>
            </w:pPr>
            <w:r>
              <w:t>Medium</w:t>
            </w:r>
          </w:p>
        </w:tc>
        <w:tc>
          <w:tcPr>
            <w:tcW w:w="4506" w:type="dxa"/>
          </w:tcPr>
          <w:p w14:paraId="706A3C80" w14:textId="49468757" w:rsidR="00852CDB" w:rsidRDefault="00852CDB"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4BB03627" w14:textId="369FEAE5" w:rsidTr="00852CDB">
        <w:tc>
          <w:tcPr>
            <w:cnfStyle w:val="001000000000" w:firstRow="0" w:lastRow="0" w:firstColumn="1" w:lastColumn="0" w:oddVBand="0" w:evenVBand="0" w:oddHBand="0" w:evenHBand="0" w:firstRowFirstColumn="0" w:firstRowLastColumn="0" w:lastRowFirstColumn="0" w:lastRowLastColumn="0"/>
            <w:tcW w:w="3510" w:type="dxa"/>
          </w:tcPr>
          <w:p w14:paraId="7496F06B" w14:textId="0D1DE55C" w:rsidR="00852CDB" w:rsidRDefault="00852CDB" w:rsidP="00852CDB">
            <w:r>
              <w:t>Storage Texel Buffer</w:t>
            </w:r>
          </w:p>
        </w:tc>
        <w:tc>
          <w:tcPr>
            <w:tcW w:w="1560" w:type="dxa"/>
          </w:tcPr>
          <w:p w14:paraId="5D922C09" w14:textId="54FD42D4" w:rsidR="00852CDB" w:rsidRDefault="00B460D6"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3003185A" w14:textId="5A5C204C" w:rsidR="00852CDB" w:rsidRDefault="00B460D6"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420E90E8" w14:textId="01CA0147" w:rsidTr="00852CDB">
        <w:tc>
          <w:tcPr>
            <w:cnfStyle w:val="001000000000" w:firstRow="0" w:lastRow="0" w:firstColumn="1" w:lastColumn="0" w:oddVBand="0" w:evenVBand="0" w:oddHBand="0" w:evenHBand="0" w:firstRowFirstColumn="0" w:firstRowLastColumn="0" w:lastRowFirstColumn="0" w:lastRowLastColumn="0"/>
            <w:tcW w:w="3510" w:type="dxa"/>
          </w:tcPr>
          <w:p w14:paraId="3E8F75E3" w14:textId="0306D2D4" w:rsidR="00852CDB" w:rsidRDefault="00852CDB" w:rsidP="00852CDB">
            <w:r>
              <w:t>Storage Buffer</w:t>
            </w:r>
          </w:p>
        </w:tc>
        <w:tc>
          <w:tcPr>
            <w:tcW w:w="1560" w:type="dxa"/>
          </w:tcPr>
          <w:p w14:paraId="20AA586A" w14:textId="1B980826" w:rsidR="00852CDB" w:rsidRDefault="00B460D6" w:rsidP="00852CDB">
            <w:pPr>
              <w:cnfStyle w:val="000000000000" w:firstRow="0" w:lastRow="0" w:firstColumn="0" w:lastColumn="0" w:oddVBand="0" w:evenVBand="0" w:oddHBand="0" w:evenHBand="0" w:firstRowFirstColumn="0" w:firstRowLastColumn="0" w:lastRowFirstColumn="0" w:lastRowLastColumn="0"/>
            </w:pPr>
            <w:r>
              <w:t>Medium</w:t>
            </w:r>
          </w:p>
        </w:tc>
        <w:tc>
          <w:tcPr>
            <w:tcW w:w="4506" w:type="dxa"/>
          </w:tcPr>
          <w:p w14:paraId="3D9FA655" w14:textId="327D4E41" w:rsidR="00852CDB" w:rsidRDefault="00B460D6"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766E9201" w14:textId="30BCE4CC" w:rsidTr="00852CDB">
        <w:tc>
          <w:tcPr>
            <w:cnfStyle w:val="001000000000" w:firstRow="0" w:lastRow="0" w:firstColumn="1" w:lastColumn="0" w:oddVBand="0" w:evenVBand="0" w:oddHBand="0" w:evenHBand="0" w:firstRowFirstColumn="0" w:firstRowLastColumn="0" w:lastRowFirstColumn="0" w:lastRowLastColumn="0"/>
            <w:tcW w:w="3510" w:type="dxa"/>
          </w:tcPr>
          <w:p w14:paraId="23D07873" w14:textId="62C00C78" w:rsidR="00852CDB" w:rsidRDefault="00852CDB" w:rsidP="00852CDB">
            <w:r>
              <w:t>Uniform Buffer</w:t>
            </w:r>
          </w:p>
        </w:tc>
        <w:tc>
          <w:tcPr>
            <w:tcW w:w="1560" w:type="dxa"/>
          </w:tcPr>
          <w:p w14:paraId="0FA98C0D" w14:textId="25E34E47" w:rsidR="00852CDB" w:rsidRDefault="00B460D6"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59A22F63" w14:textId="3D36EAFB" w:rsidR="00852CDB" w:rsidRDefault="00B460D6" w:rsidP="00852CDB">
            <w:pPr>
              <w:cnfStyle w:val="000000000000" w:firstRow="0" w:lastRow="0" w:firstColumn="0" w:lastColumn="0" w:oddVBand="0" w:evenVBand="0" w:oddHBand="0" w:evenHBand="0" w:firstRowFirstColumn="0" w:firstRowLastColumn="0" w:lastRowFirstColumn="0" w:lastRowLastColumn="0"/>
            </w:pPr>
            <w:r>
              <w:t xml:space="preserve">Uniform </w:t>
            </w:r>
            <w:r w:rsidR="008E2706">
              <w:t>{}</w:t>
            </w:r>
          </w:p>
        </w:tc>
      </w:tr>
      <w:tr w:rsidR="00852CDB" w14:paraId="0B7F759C" w14:textId="3E00DB88" w:rsidTr="00852CDB">
        <w:tc>
          <w:tcPr>
            <w:cnfStyle w:val="001000000000" w:firstRow="0" w:lastRow="0" w:firstColumn="1" w:lastColumn="0" w:oddVBand="0" w:evenVBand="0" w:oddHBand="0" w:evenHBand="0" w:firstRowFirstColumn="0" w:firstRowLastColumn="0" w:lastRowFirstColumn="0" w:lastRowLastColumn="0"/>
            <w:tcW w:w="3510" w:type="dxa"/>
          </w:tcPr>
          <w:p w14:paraId="2BDFA3E1" w14:textId="6F0DA86B" w:rsidR="00852CDB" w:rsidRDefault="00852CDB" w:rsidP="00852CDB">
            <w:r>
              <w:t>Dynamic Uniform Buffer</w:t>
            </w:r>
          </w:p>
        </w:tc>
        <w:tc>
          <w:tcPr>
            <w:tcW w:w="1560" w:type="dxa"/>
          </w:tcPr>
          <w:p w14:paraId="3D9EADD4" w14:textId="018C061F" w:rsidR="00852CDB" w:rsidRDefault="00B460D6"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41F2BFD5" w14:textId="7EE165EA" w:rsidR="00852CDB" w:rsidRDefault="00B460D6" w:rsidP="00852CDB">
            <w:pPr>
              <w:cnfStyle w:val="000000000000" w:firstRow="0" w:lastRow="0" w:firstColumn="0" w:lastColumn="0" w:oddVBand="0" w:evenVBand="0" w:oddHBand="0" w:evenHBand="0" w:firstRowFirstColumn="0" w:firstRowLastColumn="0" w:lastRowFirstColumn="0" w:lastRowLastColumn="0"/>
            </w:pPr>
            <w:r>
              <w:t>Uniform {}</w:t>
            </w:r>
          </w:p>
        </w:tc>
      </w:tr>
      <w:tr w:rsidR="00852CDB" w14:paraId="124BC29B" w14:textId="18B6168A" w:rsidTr="00852CDB">
        <w:tc>
          <w:tcPr>
            <w:cnfStyle w:val="001000000000" w:firstRow="0" w:lastRow="0" w:firstColumn="1" w:lastColumn="0" w:oddVBand="0" w:evenVBand="0" w:oddHBand="0" w:evenHBand="0" w:firstRowFirstColumn="0" w:firstRowLastColumn="0" w:lastRowFirstColumn="0" w:lastRowLastColumn="0"/>
            <w:tcW w:w="3510" w:type="dxa"/>
          </w:tcPr>
          <w:p w14:paraId="7C532F8B" w14:textId="26920907" w:rsidR="00852CDB" w:rsidRDefault="00852CDB" w:rsidP="00852CDB">
            <w:r>
              <w:t>Dynamic Storage Buffer</w:t>
            </w:r>
          </w:p>
        </w:tc>
        <w:tc>
          <w:tcPr>
            <w:tcW w:w="1560" w:type="dxa"/>
          </w:tcPr>
          <w:p w14:paraId="1E53DCD6" w14:textId="3EAF0FE8" w:rsidR="00852CDB" w:rsidRDefault="00B460D6"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1C8B5C8A" w14:textId="280FADD5" w:rsidR="00852CDB" w:rsidRDefault="00B460D6" w:rsidP="00852CDB">
            <w:pPr>
              <w:cnfStyle w:val="000000000000" w:firstRow="0" w:lastRow="0" w:firstColumn="0" w:lastColumn="0" w:oddVBand="0" w:evenVBand="0" w:oddHBand="0" w:evenHBand="0" w:firstRowFirstColumn="0" w:firstRowLastColumn="0" w:lastRowFirstColumn="0" w:lastRowLastColumn="0"/>
            </w:pPr>
            <w:r>
              <w:t>Uniform {}</w:t>
            </w:r>
          </w:p>
        </w:tc>
      </w:tr>
      <w:tr w:rsidR="00852CDB" w14:paraId="35323412" w14:textId="2969DAA6" w:rsidTr="00852CDB">
        <w:tc>
          <w:tcPr>
            <w:cnfStyle w:val="001000000000" w:firstRow="0" w:lastRow="0" w:firstColumn="1" w:lastColumn="0" w:oddVBand="0" w:evenVBand="0" w:oddHBand="0" w:evenHBand="0" w:firstRowFirstColumn="0" w:firstRowLastColumn="0" w:lastRowFirstColumn="0" w:lastRowLastColumn="0"/>
            <w:tcW w:w="3510" w:type="dxa"/>
          </w:tcPr>
          <w:p w14:paraId="7C7B7229" w14:textId="380D829B" w:rsidR="00852CDB" w:rsidRDefault="00852CDB" w:rsidP="00852CDB">
            <w:r>
              <w:t>Inline Uniform Block</w:t>
            </w:r>
          </w:p>
        </w:tc>
        <w:tc>
          <w:tcPr>
            <w:tcW w:w="1560" w:type="dxa"/>
          </w:tcPr>
          <w:p w14:paraId="26D785BC" w14:textId="5422905F" w:rsidR="00852CDB" w:rsidRDefault="00B460D6" w:rsidP="00852CDB">
            <w:pPr>
              <w:cnfStyle w:val="000000000000" w:firstRow="0" w:lastRow="0" w:firstColumn="0" w:lastColumn="0" w:oddVBand="0" w:evenVBand="0" w:oddHBand="0" w:evenHBand="0" w:firstRowFirstColumn="0" w:firstRowLastColumn="0" w:lastRowFirstColumn="0" w:lastRowLastColumn="0"/>
            </w:pPr>
            <w:r>
              <w:t>Medium</w:t>
            </w:r>
          </w:p>
        </w:tc>
        <w:tc>
          <w:tcPr>
            <w:tcW w:w="4506" w:type="dxa"/>
          </w:tcPr>
          <w:p w14:paraId="5CF5D4D7" w14:textId="7C8C868A" w:rsidR="00852CDB" w:rsidRDefault="00B460D6" w:rsidP="00852CDB">
            <w:pPr>
              <w:cnfStyle w:val="000000000000" w:firstRow="0" w:lastRow="0" w:firstColumn="0" w:lastColumn="0" w:oddVBand="0" w:evenVBand="0" w:oddHBand="0" w:evenHBand="0" w:firstRowFirstColumn="0" w:firstRowLastColumn="0" w:lastRowFirstColumn="0" w:lastRowLastColumn="0"/>
            </w:pPr>
            <w:r>
              <w:t>Uniform {}</w:t>
            </w:r>
          </w:p>
        </w:tc>
      </w:tr>
      <w:tr w:rsidR="00852CDB" w14:paraId="41315775" w14:textId="5DF32155" w:rsidTr="00852CDB">
        <w:tc>
          <w:tcPr>
            <w:cnfStyle w:val="001000000000" w:firstRow="0" w:lastRow="0" w:firstColumn="1" w:lastColumn="0" w:oddVBand="0" w:evenVBand="0" w:oddHBand="0" w:evenHBand="0" w:firstRowFirstColumn="0" w:firstRowLastColumn="0" w:lastRowFirstColumn="0" w:lastRowLastColumn="0"/>
            <w:tcW w:w="3510" w:type="dxa"/>
          </w:tcPr>
          <w:p w14:paraId="43140D64" w14:textId="725EE6F6" w:rsidR="00852CDB" w:rsidRDefault="00852CDB" w:rsidP="00852CDB">
            <w:r>
              <w:t>Input Attachment</w:t>
            </w:r>
          </w:p>
        </w:tc>
        <w:tc>
          <w:tcPr>
            <w:tcW w:w="1560" w:type="dxa"/>
          </w:tcPr>
          <w:p w14:paraId="73528E7D" w14:textId="4A041872" w:rsidR="00852CDB" w:rsidRDefault="00344799"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5352A2ED" w14:textId="729E4BED" w:rsidR="00852CDB" w:rsidRDefault="00344799" w:rsidP="00852CDB">
            <w:pPr>
              <w:cnfStyle w:val="000000000000" w:firstRow="0" w:lastRow="0" w:firstColumn="0" w:lastColumn="0" w:oddVBand="0" w:evenVBand="0" w:oddHBand="0" w:evenHBand="0" w:firstRowFirstColumn="0" w:firstRowLastColumn="0" w:lastRowFirstColumn="0" w:lastRowLastColumn="0"/>
            </w:pPr>
            <w:r>
              <w:t>-</w:t>
            </w:r>
          </w:p>
        </w:tc>
      </w:tr>
    </w:tbl>
    <w:p w14:paraId="6E6DC1A1" w14:textId="327338E9" w:rsidR="00852CDB" w:rsidRDefault="00852CDB" w:rsidP="00852CDB"/>
    <w:p w14:paraId="095B23E8" w14:textId="294DE61D" w:rsidR="00B460D6" w:rsidRPr="008E2706" w:rsidRDefault="008E2706" w:rsidP="008E2706">
      <w:pPr>
        <w:pStyle w:val="ListParagraph"/>
        <w:numPr>
          <w:ilvl w:val="0"/>
          <w:numId w:val="1"/>
        </w:numPr>
        <w:rPr>
          <w:b/>
        </w:rPr>
      </w:pPr>
      <w:r>
        <w:rPr>
          <w:b/>
        </w:rPr>
        <w:t xml:space="preserve">Storage Image: </w:t>
      </w:r>
      <w:r>
        <w:t>This type can be used to store an image that can be read from a written to in the same shader. Atomic operations are supported for this type. Maybe this can be used to implement transparent objects into deferred shading by blending when the fragments hit?</w:t>
      </w:r>
    </w:p>
    <w:p w14:paraId="2C81A327" w14:textId="2D828417" w:rsidR="008E2706" w:rsidRPr="008E2706" w:rsidRDefault="008E2706" w:rsidP="008E2706">
      <w:pPr>
        <w:pStyle w:val="ListParagraph"/>
        <w:numPr>
          <w:ilvl w:val="0"/>
          <w:numId w:val="1"/>
        </w:numPr>
        <w:rPr>
          <w:b/>
        </w:rPr>
      </w:pPr>
      <w:r>
        <w:rPr>
          <w:b/>
        </w:rPr>
        <w:t>Sampler:</w:t>
      </w:r>
      <w:r>
        <w:t xml:space="preserve"> This type defines how images can be sampled, these are required for any sample operation but cannot be made directly in GLSL.</w:t>
      </w:r>
    </w:p>
    <w:p w14:paraId="03123D80" w14:textId="1F397B8B" w:rsidR="008E2706" w:rsidRPr="008E2706" w:rsidRDefault="008E2706" w:rsidP="008E2706">
      <w:pPr>
        <w:pStyle w:val="ListParagraph"/>
        <w:numPr>
          <w:ilvl w:val="0"/>
          <w:numId w:val="1"/>
        </w:numPr>
        <w:rPr>
          <w:b/>
        </w:rPr>
      </w:pPr>
      <w:r>
        <w:rPr>
          <w:b/>
        </w:rPr>
        <w:t>Sampled Image:</w:t>
      </w:r>
      <w:r>
        <w:t xml:space="preserve"> This type defines an image resource, it cannot be sampled without a sampler.</w:t>
      </w:r>
      <w:r w:rsidR="00371574">
        <w:t xml:space="preserve"> This can be utilized to minimize sampler creation if we don’t use GLSL.</w:t>
      </w:r>
    </w:p>
    <w:p w14:paraId="449B8998" w14:textId="682E1174" w:rsidR="008E2706" w:rsidRPr="0028793A" w:rsidRDefault="008E2706" w:rsidP="008E2706">
      <w:pPr>
        <w:pStyle w:val="ListParagraph"/>
        <w:numPr>
          <w:ilvl w:val="0"/>
          <w:numId w:val="1"/>
        </w:numPr>
        <w:rPr>
          <w:b/>
        </w:rPr>
      </w:pPr>
      <w:r>
        <w:rPr>
          <w:b/>
        </w:rPr>
        <w:t>Combined Image Sampler:</w:t>
      </w:r>
      <w:r>
        <w:t xml:space="preserve"> This is generally what all texture will be inside shaders build with GLSL because it as no way to separate the two. This simply combines a Sampler and a</w:t>
      </w:r>
      <w:r w:rsidR="0028793A">
        <w:t xml:space="preserve"> Sampled Image into one.</w:t>
      </w:r>
    </w:p>
    <w:p w14:paraId="4A608826" w14:textId="7B45595C" w:rsidR="0028793A" w:rsidRPr="00371574" w:rsidRDefault="0028793A" w:rsidP="008E2706">
      <w:pPr>
        <w:pStyle w:val="ListParagraph"/>
        <w:numPr>
          <w:ilvl w:val="0"/>
          <w:numId w:val="1"/>
        </w:numPr>
        <w:rPr>
          <w:b/>
        </w:rPr>
      </w:pPr>
      <w:r>
        <w:rPr>
          <w:b/>
        </w:rPr>
        <w:t>Uniform Texel Buffer:</w:t>
      </w:r>
      <w:r>
        <w:t xml:space="preserve"> This type can be used to store vast amounts of uniform data. For </w:t>
      </w:r>
      <w:r w:rsidR="00371574">
        <w:t>instance,</w:t>
      </w:r>
      <w:r>
        <w:t xml:space="preserve"> if we need to store joint matrices for an animated model. </w:t>
      </w:r>
    </w:p>
    <w:p w14:paraId="2E8224C5" w14:textId="30736F47" w:rsidR="00371574" w:rsidRPr="00CE0B55" w:rsidRDefault="00262DC3" w:rsidP="008E2706">
      <w:pPr>
        <w:pStyle w:val="ListParagraph"/>
        <w:numPr>
          <w:ilvl w:val="0"/>
          <w:numId w:val="1"/>
        </w:numPr>
        <w:rPr>
          <w:b/>
        </w:rPr>
      </w:pPr>
      <w:r>
        <w:rPr>
          <w:b/>
        </w:rPr>
        <w:t>Storage Texel Buffer:</w:t>
      </w:r>
      <w:r w:rsidR="00CE0B55">
        <w:rPr>
          <w:b/>
        </w:rPr>
        <w:t xml:space="preserve"> </w:t>
      </w:r>
      <w:r w:rsidR="00CE0B55">
        <w:t xml:space="preserve">Same as a Uniform Texel Buffer but now we can also write to it. </w:t>
      </w:r>
    </w:p>
    <w:p w14:paraId="5780CC49" w14:textId="6A0AEBDB" w:rsidR="00CE0B55" w:rsidRPr="00183168" w:rsidRDefault="00E86D66" w:rsidP="008E2706">
      <w:pPr>
        <w:pStyle w:val="ListParagraph"/>
        <w:numPr>
          <w:ilvl w:val="0"/>
          <w:numId w:val="1"/>
        </w:numPr>
        <w:rPr>
          <w:b/>
        </w:rPr>
      </w:pPr>
      <w:r>
        <w:rPr>
          <w:b/>
        </w:rPr>
        <w:t xml:space="preserve">Storage Buffer: </w:t>
      </w:r>
      <w:r w:rsidR="00183168">
        <w:t>This is the same as a Uniform Buffer but now we can write to it.</w:t>
      </w:r>
    </w:p>
    <w:p w14:paraId="400727C5" w14:textId="0E9E324B" w:rsidR="00183168" w:rsidRPr="00183168" w:rsidRDefault="00183168" w:rsidP="008E2706">
      <w:pPr>
        <w:pStyle w:val="ListParagraph"/>
        <w:numPr>
          <w:ilvl w:val="0"/>
          <w:numId w:val="1"/>
        </w:numPr>
        <w:rPr>
          <w:b/>
        </w:rPr>
      </w:pPr>
      <w:r>
        <w:rPr>
          <w:b/>
        </w:rPr>
        <w:lastRenderedPageBreak/>
        <w:t>Uniform Buffer:</w:t>
      </w:r>
      <w:r>
        <w:t xml:space="preserve"> This is how we store all non-sampler uniforms in Vulkan as it cannot be in global scope like in GLSL. </w:t>
      </w:r>
    </w:p>
    <w:p w14:paraId="65FC285B" w14:textId="756472BA" w:rsidR="00183168" w:rsidRPr="001A5DB2" w:rsidRDefault="00183168" w:rsidP="008E2706">
      <w:pPr>
        <w:pStyle w:val="ListParagraph"/>
        <w:numPr>
          <w:ilvl w:val="0"/>
          <w:numId w:val="1"/>
        </w:numPr>
        <w:rPr>
          <w:b/>
        </w:rPr>
      </w:pPr>
      <w:r>
        <w:rPr>
          <w:b/>
        </w:rPr>
        <w:t>Dynamic Uniform Buffer:</w:t>
      </w:r>
      <w:r>
        <w:t xml:space="preserve"> </w:t>
      </w:r>
      <w:r w:rsidR="001A5DB2">
        <w:t>Same as a Uniform Buffer but now we can change where the buffer starts dynamically.</w:t>
      </w:r>
    </w:p>
    <w:p w14:paraId="29924DE5" w14:textId="70A37ACF" w:rsidR="001A5DB2" w:rsidRPr="001A5DB2" w:rsidRDefault="001A5DB2" w:rsidP="008E2706">
      <w:pPr>
        <w:pStyle w:val="ListParagraph"/>
        <w:numPr>
          <w:ilvl w:val="0"/>
          <w:numId w:val="1"/>
        </w:numPr>
        <w:rPr>
          <w:b/>
        </w:rPr>
      </w:pPr>
      <w:r>
        <w:rPr>
          <w:b/>
        </w:rPr>
        <w:t>Dynamic Storage Buffer:</w:t>
      </w:r>
      <w:r>
        <w:t xml:space="preserve"> A dynamic Uniform Buffer but now we can write to it as well.</w:t>
      </w:r>
    </w:p>
    <w:p w14:paraId="4AAB5621" w14:textId="365DD6E9" w:rsidR="001A5DB2" w:rsidRPr="001A5DB2" w:rsidRDefault="001A5DB2" w:rsidP="008E2706">
      <w:pPr>
        <w:pStyle w:val="ListParagraph"/>
        <w:numPr>
          <w:ilvl w:val="0"/>
          <w:numId w:val="1"/>
        </w:numPr>
        <w:rPr>
          <w:b/>
        </w:rPr>
      </w:pPr>
      <w:r>
        <w:rPr>
          <w:b/>
        </w:rPr>
        <w:t>Inline Uniform Block:</w:t>
      </w:r>
      <w:r>
        <w:t xml:space="preserve"> This will be our way of writing constants into our shader as we cannot use global scope. These values cannot be accessed or changed outside of the shader.</w:t>
      </w:r>
    </w:p>
    <w:p w14:paraId="490A8688" w14:textId="6A04DAD6" w:rsidR="001A5DB2" w:rsidRPr="001C342A" w:rsidRDefault="005D4AA6" w:rsidP="008E2706">
      <w:pPr>
        <w:pStyle w:val="ListParagraph"/>
        <w:numPr>
          <w:ilvl w:val="0"/>
          <w:numId w:val="1"/>
        </w:numPr>
        <w:rPr>
          <w:b/>
        </w:rPr>
      </w:pPr>
      <w:r>
        <w:rPr>
          <w:b/>
        </w:rPr>
        <w:t>Input Attachment:</w:t>
      </w:r>
      <w:r>
        <w:t xml:space="preserve"> With this type we can write to the resource in one shader stage and read from it in a later one without having to switch render passes. In a very slim scenario this might be highly optimized</w:t>
      </w:r>
      <w:r w:rsidR="00344799">
        <w:t xml:space="preserve"> (like a deferred renderer)</w:t>
      </w:r>
      <w:r>
        <w:t>.</w:t>
      </w:r>
    </w:p>
    <w:p w14:paraId="3D9BB7CD" w14:textId="1822F722" w:rsidR="001C342A" w:rsidRDefault="0037303D" w:rsidP="0037303D">
      <w:pPr>
        <w:pStyle w:val="Heading2"/>
      </w:pPr>
      <w:bookmarkStart w:id="2" w:name="_Toc534636711"/>
      <w:r>
        <w:t>Sets and bindings in GLSL</w:t>
      </w:r>
      <w:bookmarkEnd w:id="2"/>
    </w:p>
    <w:p w14:paraId="371F6AFD" w14:textId="1403E925" w:rsidR="0037303D" w:rsidRPr="0037303D" w:rsidRDefault="0037303D" w:rsidP="0037303D">
      <w:pPr>
        <w:rPr>
          <w:rFonts w:eastAsiaTheme="minorEastAsia"/>
        </w:rPr>
      </w:pPr>
      <w:r>
        <w:t>To work with uniform values of any kind in GLSL we need to specify the binding location and set index of the uniform. All uniforms must be stored together in a set. In practice all uniform will probably belong to the same set as the only difference between sets is the flags (which are not often used). So generally, we can specify our uniforms in two ways:</w:t>
      </w:r>
      <w:r>
        <w:br/>
      </w:r>
      <m:oMathPara>
        <m:oMath>
          <m:r>
            <w:rPr>
              <w:rFonts w:ascii="Cambria Math" w:hAnsi="Cambria Math"/>
            </w:rPr>
            <m:t xml:space="preserve">layout </m:t>
          </m:r>
          <m:d>
            <m:dPr>
              <m:ctrlPr>
                <w:rPr>
                  <w:rFonts w:ascii="Cambria Math" w:hAnsi="Cambria Math"/>
                  <w:i/>
                </w:rPr>
              </m:ctrlPr>
            </m:dPr>
            <m:e>
              <m:r>
                <w:rPr>
                  <w:rFonts w:ascii="Cambria Math" w:hAnsi="Cambria Math"/>
                </w:rPr>
                <m:t>set=0, binding=0</m:t>
              </m:r>
            </m:e>
          </m:d>
          <m:r>
            <w:rPr>
              <w:rFonts w:ascii="Cambria Math" w:hAnsi="Cambria Math"/>
            </w:rPr>
            <m:t xml:space="preserve"> uniform sampler2D Albedo;</m:t>
          </m:r>
          <m:r>
            <m:rPr>
              <m:sty m:val="p"/>
            </m:rPr>
            <w:rPr>
              <w:rFonts w:ascii="Cambria Math" w:hAnsi="Cambria Math"/>
            </w:rPr>
            <w:br/>
          </m:r>
        </m:oMath>
        <m:oMath>
          <m:r>
            <w:rPr>
              <w:rFonts w:ascii="Cambria Math" w:eastAsiaTheme="minorEastAsia" w:hAnsi="Cambria Math"/>
            </w:rPr>
            <m:t xml:space="preserve">layout </m:t>
          </m:r>
          <m:d>
            <m:dPr>
              <m:ctrlPr>
                <w:rPr>
                  <w:rFonts w:ascii="Cambria Math" w:eastAsiaTheme="minorEastAsia" w:hAnsi="Cambria Math"/>
                  <w:i/>
                </w:rPr>
              </m:ctrlPr>
            </m:dPr>
            <m:e>
              <m:r>
                <w:rPr>
                  <w:rFonts w:ascii="Cambria Math" w:eastAsiaTheme="minorEastAsia" w:hAnsi="Cambria Math"/>
                </w:rPr>
                <m:t>set=0, binding=1</m:t>
              </m:r>
            </m:e>
          </m:d>
          <m:r>
            <w:rPr>
              <w:rFonts w:ascii="Cambria Math" w:eastAsiaTheme="minorEastAsia" w:hAnsi="Cambria Math"/>
            </w:rPr>
            <m:t xml:space="preserve"> uniform sampler2D Normal;</m:t>
          </m:r>
        </m:oMath>
      </m:oMathPara>
    </w:p>
    <w:p w14:paraId="548B98B4" w14:textId="0C6DDB83" w:rsidR="0037303D" w:rsidRPr="0037303D" w:rsidRDefault="0037303D" w:rsidP="0037303D">
      <w:pPr>
        <w:rPr>
          <w:rFonts w:eastAsiaTheme="minorEastAsia"/>
        </w:rPr>
      </w:pPr>
      <m:oMathPara>
        <m:oMath>
          <m:r>
            <w:rPr>
              <w:rFonts w:ascii="Cambria Math" w:eastAsiaTheme="minorEastAsia" w:hAnsi="Cambria Math"/>
            </w:rPr>
            <m:t xml:space="preserve">layout </m:t>
          </m:r>
          <m:d>
            <m:dPr>
              <m:ctrlPr>
                <w:rPr>
                  <w:rFonts w:ascii="Cambria Math" w:eastAsiaTheme="minorEastAsia" w:hAnsi="Cambria Math"/>
                  <w:i/>
                </w:rPr>
              </m:ctrlPr>
            </m:dPr>
            <m:e>
              <m:r>
                <w:rPr>
                  <w:rFonts w:ascii="Cambria Math" w:eastAsiaTheme="minorEastAsia" w:hAnsi="Cambria Math"/>
                </w:rPr>
                <m:t>binding=0</m:t>
              </m:r>
            </m:e>
          </m:d>
          <m:r>
            <w:rPr>
              <w:rFonts w:ascii="Cambria Math" w:eastAsiaTheme="minorEastAsia" w:hAnsi="Cambria Math"/>
            </w:rPr>
            <m:t xml:space="preserve"> uniform sampler2D Albedo;</m:t>
          </m:r>
          <m:r>
            <m:rPr>
              <m:sty m:val="p"/>
            </m:rPr>
            <w:rPr>
              <w:rFonts w:ascii="Cambria Math" w:eastAsiaTheme="minorEastAsia" w:hAnsi="Cambria Math"/>
            </w:rPr>
            <w:br/>
          </m:r>
        </m:oMath>
        <m:oMath>
          <m:r>
            <w:rPr>
              <w:rFonts w:ascii="Cambria Math" w:eastAsiaTheme="minorEastAsia" w:hAnsi="Cambria Math"/>
            </w:rPr>
            <m:t xml:space="preserve">layout </m:t>
          </m:r>
          <m:d>
            <m:dPr>
              <m:ctrlPr>
                <w:rPr>
                  <w:rFonts w:ascii="Cambria Math" w:eastAsiaTheme="minorEastAsia" w:hAnsi="Cambria Math"/>
                  <w:i/>
                </w:rPr>
              </m:ctrlPr>
            </m:dPr>
            <m:e>
              <m:r>
                <w:rPr>
                  <w:rFonts w:ascii="Cambria Math" w:eastAsiaTheme="minorEastAsia" w:hAnsi="Cambria Math"/>
                </w:rPr>
                <m:t>binding=1</m:t>
              </m:r>
            </m:e>
          </m:d>
          <m:r>
            <w:rPr>
              <w:rFonts w:ascii="Cambria Math" w:eastAsiaTheme="minorEastAsia" w:hAnsi="Cambria Math"/>
            </w:rPr>
            <m:t xml:space="preserve"> uniform sampler2D Normal;</m:t>
          </m:r>
        </m:oMath>
      </m:oMathPara>
    </w:p>
    <w:p w14:paraId="6D8AD826" w14:textId="45D8FBB3" w:rsidR="0037303D" w:rsidRDefault="0037303D" w:rsidP="0037303D">
      <w:pPr>
        <w:rPr>
          <w:rFonts w:eastAsiaTheme="minorEastAsia"/>
        </w:rPr>
      </w:pPr>
      <w:r>
        <w:rPr>
          <w:rFonts w:eastAsiaTheme="minorEastAsia"/>
        </w:rPr>
        <w:t xml:space="preserve">The compiler will add the set index of zero to the last type of layout for us. </w:t>
      </w:r>
      <w:bookmarkStart w:id="3" w:name="_GoBack"/>
      <w:bookmarkEnd w:id="3"/>
    </w:p>
    <w:p w14:paraId="303CDC18" w14:textId="24633238" w:rsidR="0021274C" w:rsidRPr="0037303D" w:rsidRDefault="0021274C" w:rsidP="0037303D">
      <w:pPr>
        <w:rPr>
          <w:rFonts w:eastAsiaTheme="minorEastAsia"/>
        </w:rPr>
      </w:pPr>
    </w:p>
    <w:sectPr w:rsidR="0021274C" w:rsidRPr="0037303D" w:rsidSect="00332C48">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8275D" w14:textId="77777777" w:rsidR="00977795" w:rsidRDefault="00977795" w:rsidP="00332C48">
      <w:pPr>
        <w:spacing w:after="0" w:line="240" w:lineRule="auto"/>
      </w:pPr>
      <w:r>
        <w:separator/>
      </w:r>
    </w:p>
  </w:endnote>
  <w:endnote w:type="continuationSeparator" w:id="0">
    <w:p w14:paraId="024C116D" w14:textId="77777777" w:rsidR="00977795" w:rsidRDefault="00977795" w:rsidP="0033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06915"/>
      <w:docPartObj>
        <w:docPartGallery w:val="Page Numbers (Bottom of Page)"/>
        <w:docPartUnique/>
      </w:docPartObj>
    </w:sdtPr>
    <w:sdtEndPr>
      <w:rPr>
        <w:noProof/>
      </w:rPr>
    </w:sdtEndPr>
    <w:sdtContent>
      <w:p w14:paraId="018FCE3A" w14:textId="36DA71BB" w:rsidR="00332C48" w:rsidRDefault="00332C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C239A" w14:textId="77777777" w:rsidR="00332C48" w:rsidRDefault="00332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24625" w14:textId="77777777" w:rsidR="00977795" w:rsidRDefault="00977795" w:rsidP="00332C48">
      <w:pPr>
        <w:spacing w:after="0" w:line="240" w:lineRule="auto"/>
      </w:pPr>
      <w:r>
        <w:separator/>
      </w:r>
    </w:p>
  </w:footnote>
  <w:footnote w:type="continuationSeparator" w:id="0">
    <w:p w14:paraId="41FC3B96" w14:textId="77777777" w:rsidR="00977795" w:rsidRDefault="00977795" w:rsidP="00332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9749C"/>
    <w:multiLevelType w:val="hybridMultilevel"/>
    <w:tmpl w:val="4FF60FFA"/>
    <w:lvl w:ilvl="0" w:tplc="22928CDC">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7176"/>
    <w:rsid w:val="000904B2"/>
    <w:rsid w:val="00110D51"/>
    <w:rsid w:val="00183168"/>
    <w:rsid w:val="001A5DB2"/>
    <w:rsid w:val="001C342A"/>
    <w:rsid w:val="0021274C"/>
    <w:rsid w:val="00262DC3"/>
    <w:rsid w:val="0028793A"/>
    <w:rsid w:val="00332C48"/>
    <w:rsid w:val="00344799"/>
    <w:rsid w:val="00371574"/>
    <w:rsid w:val="0037303D"/>
    <w:rsid w:val="003D32CF"/>
    <w:rsid w:val="00465792"/>
    <w:rsid w:val="00497176"/>
    <w:rsid w:val="005D4AA6"/>
    <w:rsid w:val="0062492C"/>
    <w:rsid w:val="006E58D1"/>
    <w:rsid w:val="007144EE"/>
    <w:rsid w:val="00852CDB"/>
    <w:rsid w:val="008E2706"/>
    <w:rsid w:val="009043BD"/>
    <w:rsid w:val="00977795"/>
    <w:rsid w:val="00B460D6"/>
    <w:rsid w:val="00CB38A4"/>
    <w:rsid w:val="00CE0B55"/>
    <w:rsid w:val="00DF157E"/>
    <w:rsid w:val="00E249A0"/>
    <w:rsid w:val="00E86D66"/>
    <w:rsid w:val="00EB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AF89"/>
  <w15:chartTrackingRefBased/>
  <w15:docId w15:val="{2BECAF78-0459-48FE-A931-C266A0ED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paragraph" w:styleId="NoSpacing">
    <w:name w:val="No Spacing"/>
    <w:link w:val="NoSpacingChar"/>
    <w:uiPriority w:val="1"/>
    <w:qFormat/>
    <w:rsid w:val="00332C48"/>
    <w:pPr>
      <w:spacing w:after="0" w:line="240" w:lineRule="auto"/>
    </w:pPr>
    <w:rPr>
      <w:rFonts w:eastAsiaTheme="minorEastAsia"/>
    </w:rPr>
  </w:style>
  <w:style w:type="character" w:customStyle="1" w:styleId="NoSpacingChar">
    <w:name w:val="No Spacing Char"/>
    <w:basedOn w:val="DefaultParagraphFont"/>
    <w:link w:val="NoSpacing"/>
    <w:uiPriority w:val="1"/>
    <w:rsid w:val="00332C48"/>
    <w:rPr>
      <w:rFonts w:eastAsiaTheme="minorEastAsia"/>
    </w:rPr>
  </w:style>
  <w:style w:type="paragraph" w:styleId="Header">
    <w:name w:val="header"/>
    <w:basedOn w:val="Normal"/>
    <w:link w:val="HeaderChar"/>
    <w:uiPriority w:val="99"/>
    <w:unhideWhenUsed/>
    <w:rsid w:val="00332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C48"/>
    <w:rPr>
      <w:rFonts w:ascii="Bookman Old Style" w:hAnsi="Bookman Old Style"/>
      <w:sz w:val="24"/>
    </w:rPr>
  </w:style>
  <w:style w:type="paragraph" w:styleId="Footer">
    <w:name w:val="footer"/>
    <w:basedOn w:val="Normal"/>
    <w:link w:val="FooterChar"/>
    <w:uiPriority w:val="99"/>
    <w:unhideWhenUsed/>
    <w:rsid w:val="00332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C48"/>
    <w:rPr>
      <w:rFonts w:ascii="Bookman Old Style" w:hAnsi="Bookman Old Style"/>
      <w:sz w:val="24"/>
    </w:rPr>
  </w:style>
  <w:style w:type="paragraph" w:styleId="TOCHeading">
    <w:name w:val="TOC Heading"/>
    <w:basedOn w:val="Heading1"/>
    <w:next w:val="Normal"/>
    <w:uiPriority w:val="39"/>
    <w:unhideWhenUsed/>
    <w:qFormat/>
    <w:rsid w:val="00332C48"/>
    <w:pPr>
      <w:spacing w:before="240" w:line="259" w:lineRule="auto"/>
      <w:jc w:val="left"/>
      <w:outlineLvl w:val="9"/>
    </w:pPr>
    <w:rPr>
      <w:rFonts w:asciiTheme="majorHAnsi" w:hAnsiTheme="majorHAnsi"/>
      <w:b w:val="0"/>
      <w:bCs w:val="0"/>
      <w:sz w:val="32"/>
      <w:szCs w:val="32"/>
    </w:rPr>
  </w:style>
  <w:style w:type="paragraph" w:styleId="TOC2">
    <w:name w:val="toc 2"/>
    <w:basedOn w:val="Normal"/>
    <w:next w:val="Normal"/>
    <w:autoRedefine/>
    <w:uiPriority w:val="39"/>
    <w:unhideWhenUsed/>
    <w:rsid w:val="00332C48"/>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332C48"/>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332C48"/>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59"/>
    <w:rsid w:val="00852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52C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706"/>
    <w:pPr>
      <w:ind w:left="720"/>
      <w:contextualSpacing/>
    </w:pPr>
  </w:style>
  <w:style w:type="character" w:styleId="PlaceholderText">
    <w:name w:val="Placeholder Text"/>
    <w:basedOn w:val="DefaultParagraphFont"/>
    <w:uiPriority w:val="99"/>
    <w:semiHidden/>
    <w:rsid w:val="0037303D"/>
    <w:rPr>
      <w:color w:val="808080"/>
    </w:rPr>
  </w:style>
  <w:style w:type="character" w:styleId="Hyperlink">
    <w:name w:val="Hyperlink"/>
    <w:basedOn w:val="DefaultParagraphFont"/>
    <w:uiPriority w:val="99"/>
    <w:unhideWhenUsed/>
    <w:rsid w:val="000904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5493-D12E-45E0-8E36-2B45DBB5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Descriptors</dc:title>
  <dc:subject>How to generate them</dc:subject>
  <dc:creator>Frank de Jong</dc:creator>
  <cp:keywords/>
  <dc:description/>
  <cp:lastModifiedBy>Jong, Frank de (160010)</cp:lastModifiedBy>
  <cp:revision>17</cp:revision>
  <dcterms:created xsi:type="dcterms:W3CDTF">2019-01-05T21:34:00Z</dcterms:created>
  <dcterms:modified xsi:type="dcterms:W3CDTF">2020-02-01T11:30:00Z</dcterms:modified>
</cp:coreProperties>
</file>