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project-2-exploratory-data-analysis-eda"/>
    <w:p>
      <w:pPr>
        <w:pStyle w:val="Heading1"/>
      </w:pPr>
      <w:r>
        <w:t xml:space="preserve">Project 2: Exploratory Data Analysis (EDA)</w:t>
      </w:r>
    </w:p>
    <w:bookmarkStart w:id="21" w:name="internship-program-decodelabs"/>
    <w:p>
      <w:pPr>
        <w:pStyle w:val="Heading2"/>
      </w:pPr>
      <w:r>
        <w:t xml:space="preserve">Internship Program – DecodeLabs</w:t>
      </w:r>
    </w:p>
    <w:bookmarkStart w:id="20" w:name="submitted-by-arzoo-faiz"/>
    <w:p>
      <w:pPr>
        <w:pStyle w:val="Heading3"/>
      </w:pPr>
      <w:r>
        <w:t xml:space="preserve">Submitted By: Arzoo Faiz</w:t>
      </w:r>
    </w:p>
    <w:bookmarkEnd w:id="20"/>
    <w:bookmarkEnd w:id="21"/>
    <w:bookmarkStart w:id="22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The objective of this project is to perform Exploratory Data Analysis (EDA) on the provided e-commerce dataset to identify patterns, trends, outliers, and important insights.</w:t>
      </w:r>
    </w:p>
    <w:p>
      <w:r>
        <w:pict>
          <v:rect style="width:0;height:1.5pt" o:hralign="center" o:hrstd="t" o:hr="t"/>
        </w:pict>
      </w:r>
    </w:p>
    <w:bookmarkEnd w:id="22"/>
    <w:bookmarkStart w:id="24" w:name="dataset-overview"/>
    <w:p>
      <w:pPr>
        <w:pStyle w:val="Heading2"/>
      </w:pPr>
      <w:r>
        <w:t xml:space="preserve">Dataset Overview</w:t>
      </w:r>
    </w:p>
    <w:p>
      <w:pPr>
        <w:pStyle w:val="Compact"/>
        <w:numPr>
          <w:ilvl w:val="0"/>
          <w:numId w:val="1001"/>
        </w:numPr>
      </w:pPr>
      <w:r>
        <w:t xml:space="preserve">Total Records: 1200</w:t>
      </w:r>
    </w:p>
    <w:p>
      <w:pPr>
        <w:pStyle w:val="Compact"/>
        <w:numPr>
          <w:ilvl w:val="0"/>
          <w:numId w:val="1001"/>
        </w:numPr>
      </w:pPr>
      <w:r>
        <w:t xml:space="preserve">Total Columns: 14</w:t>
      </w:r>
    </w:p>
    <w:bookmarkStart w:id="23" w:name="columns-included"/>
    <w:p>
      <w:pPr>
        <w:pStyle w:val="Heading3"/>
      </w:pPr>
      <w:r>
        <w:t xml:space="preserve">Columns Included</w:t>
      </w:r>
    </w:p>
    <w:p>
      <w:pPr>
        <w:pStyle w:val="Compact"/>
        <w:numPr>
          <w:ilvl w:val="0"/>
          <w:numId w:val="1002"/>
        </w:numPr>
      </w:pPr>
      <w:r>
        <w:t xml:space="preserve">OrderID</w:t>
      </w:r>
    </w:p>
    <w:p>
      <w:pPr>
        <w:pStyle w:val="Compact"/>
        <w:numPr>
          <w:ilvl w:val="0"/>
          <w:numId w:val="1002"/>
        </w:numPr>
      </w:pPr>
      <w:r>
        <w:t xml:space="preserve">Date</w:t>
      </w:r>
    </w:p>
    <w:p>
      <w:pPr>
        <w:pStyle w:val="Compact"/>
        <w:numPr>
          <w:ilvl w:val="0"/>
          <w:numId w:val="1002"/>
        </w:numPr>
      </w:pPr>
      <w:r>
        <w:t xml:space="preserve">CustomerID</w:t>
      </w:r>
    </w:p>
    <w:p>
      <w:pPr>
        <w:pStyle w:val="Compact"/>
        <w:numPr>
          <w:ilvl w:val="0"/>
          <w:numId w:val="1002"/>
        </w:numPr>
      </w:pPr>
      <w:r>
        <w:t xml:space="preserve">Product</w:t>
      </w:r>
    </w:p>
    <w:p>
      <w:pPr>
        <w:pStyle w:val="Compact"/>
        <w:numPr>
          <w:ilvl w:val="0"/>
          <w:numId w:val="1002"/>
        </w:numPr>
      </w:pPr>
      <w:r>
        <w:t xml:space="preserve">Quantity</w:t>
      </w:r>
    </w:p>
    <w:p>
      <w:pPr>
        <w:pStyle w:val="Compact"/>
        <w:numPr>
          <w:ilvl w:val="0"/>
          <w:numId w:val="1002"/>
        </w:numPr>
      </w:pPr>
      <w:r>
        <w:t xml:space="preserve">UnitPrice</w:t>
      </w:r>
    </w:p>
    <w:p>
      <w:pPr>
        <w:pStyle w:val="Compact"/>
        <w:numPr>
          <w:ilvl w:val="0"/>
          <w:numId w:val="1002"/>
        </w:numPr>
      </w:pPr>
      <w:r>
        <w:t xml:space="preserve">ShippingAddress</w:t>
      </w:r>
    </w:p>
    <w:p>
      <w:pPr>
        <w:pStyle w:val="Compact"/>
        <w:numPr>
          <w:ilvl w:val="0"/>
          <w:numId w:val="1002"/>
        </w:numPr>
      </w:pPr>
      <w:r>
        <w:t xml:space="preserve">PaymentMethod</w:t>
      </w:r>
    </w:p>
    <w:p>
      <w:pPr>
        <w:pStyle w:val="Compact"/>
        <w:numPr>
          <w:ilvl w:val="0"/>
          <w:numId w:val="1002"/>
        </w:numPr>
      </w:pPr>
      <w:r>
        <w:t xml:space="preserve">OrderStatus</w:t>
      </w:r>
    </w:p>
    <w:p>
      <w:pPr>
        <w:pStyle w:val="Compact"/>
        <w:numPr>
          <w:ilvl w:val="0"/>
          <w:numId w:val="1002"/>
        </w:numPr>
      </w:pPr>
      <w:r>
        <w:t xml:space="preserve">TrackingNumber</w:t>
      </w:r>
    </w:p>
    <w:p>
      <w:pPr>
        <w:pStyle w:val="Compact"/>
        <w:numPr>
          <w:ilvl w:val="0"/>
          <w:numId w:val="1002"/>
        </w:numPr>
      </w:pPr>
      <w:r>
        <w:t xml:space="preserve">ItemsInCart</w:t>
      </w:r>
    </w:p>
    <w:p>
      <w:pPr>
        <w:pStyle w:val="Compact"/>
        <w:numPr>
          <w:ilvl w:val="0"/>
          <w:numId w:val="1002"/>
        </w:numPr>
      </w:pPr>
      <w:r>
        <w:t xml:space="preserve">CouponCode</w:t>
      </w:r>
    </w:p>
    <w:p>
      <w:pPr>
        <w:pStyle w:val="Compact"/>
        <w:numPr>
          <w:ilvl w:val="0"/>
          <w:numId w:val="1002"/>
        </w:numPr>
      </w:pPr>
      <w:r>
        <w:t xml:space="preserve">ReferralSource</w:t>
      </w:r>
    </w:p>
    <w:p>
      <w:pPr>
        <w:pStyle w:val="Compact"/>
        <w:numPr>
          <w:ilvl w:val="0"/>
          <w:numId w:val="1002"/>
        </w:numPr>
      </w:pPr>
      <w:r>
        <w:t xml:space="preserve">TotalPrice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30" w:name="basic-statistics"/>
    <w:p>
      <w:pPr>
        <w:pStyle w:val="Heading1"/>
      </w:pPr>
      <w:r>
        <w:t xml:space="preserve">Basic Statistics</w:t>
      </w:r>
    </w:p>
    <w:bookmarkStart w:id="26" w:name="quantity"/>
    <w:p>
      <w:pPr>
        <w:pStyle w:val="Heading2"/>
      </w:pPr>
      <w:r>
        <w:t xml:space="preserve">Quantity</w:t>
      </w:r>
    </w:p>
    <w:p>
      <w:pPr>
        <w:pStyle w:val="Compact"/>
        <w:numPr>
          <w:ilvl w:val="0"/>
          <w:numId w:val="1003"/>
        </w:numPr>
      </w:pPr>
      <w:r>
        <w:t xml:space="preserve">Mean: 2.95</w:t>
      </w:r>
    </w:p>
    <w:p>
      <w:pPr>
        <w:pStyle w:val="Compact"/>
        <w:numPr>
          <w:ilvl w:val="0"/>
          <w:numId w:val="1003"/>
        </w:numPr>
      </w:pPr>
      <w:r>
        <w:t xml:space="preserve">Median: 3</w:t>
      </w:r>
    </w:p>
    <w:p>
      <w:pPr>
        <w:pStyle w:val="Compact"/>
        <w:numPr>
          <w:ilvl w:val="0"/>
          <w:numId w:val="1003"/>
        </w:numPr>
      </w:pPr>
      <w:r>
        <w:t xml:space="preserve">Count: 1200</w:t>
      </w:r>
    </w:p>
    <w:bookmarkEnd w:id="26"/>
    <w:bookmarkStart w:id="27" w:name="unitprice"/>
    <w:p>
      <w:pPr>
        <w:pStyle w:val="Heading2"/>
      </w:pPr>
      <w:r>
        <w:t xml:space="preserve">UnitPrice</w:t>
      </w:r>
    </w:p>
    <w:p>
      <w:pPr>
        <w:pStyle w:val="Compact"/>
        <w:numPr>
          <w:ilvl w:val="0"/>
          <w:numId w:val="1004"/>
        </w:numPr>
      </w:pPr>
      <w:r>
        <w:t xml:space="preserve">Mean: 356.41</w:t>
      </w:r>
    </w:p>
    <w:p>
      <w:pPr>
        <w:pStyle w:val="Compact"/>
        <w:numPr>
          <w:ilvl w:val="0"/>
          <w:numId w:val="1004"/>
        </w:numPr>
      </w:pPr>
      <w:r>
        <w:t xml:space="preserve">Median: 364.21</w:t>
      </w:r>
    </w:p>
    <w:p>
      <w:pPr>
        <w:pStyle w:val="Compact"/>
        <w:numPr>
          <w:ilvl w:val="0"/>
          <w:numId w:val="1004"/>
        </w:numPr>
      </w:pPr>
      <w:r>
        <w:t xml:space="preserve">Count: 1200</w:t>
      </w:r>
    </w:p>
    <w:bookmarkEnd w:id="27"/>
    <w:bookmarkStart w:id="28" w:name="itemsincart"/>
    <w:p>
      <w:pPr>
        <w:pStyle w:val="Heading2"/>
      </w:pPr>
      <w:r>
        <w:t xml:space="preserve">ItemsInCart</w:t>
      </w:r>
    </w:p>
    <w:p>
      <w:pPr>
        <w:pStyle w:val="Compact"/>
        <w:numPr>
          <w:ilvl w:val="0"/>
          <w:numId w:val="1005"/>
        </w:numPr>
      </w:pPr>
      <w:r>
        <w:t xml:space="preserve">Mean: 5.49</w:t>
      </w:r>
    </w:p>
    <w:p>
      <w:pPr>
        <w:pStyle w:val="Compact"/>
        <w:numPr>
          <w:ilvl w:val="0"/>
          <w:numId w:val="1005"/>
        </w:numPr>
      </w:pPr>
      <w:r>
        <w:t xml:space="preserve">Median: 5</w:t>
      </w:r>
    </w:p>
    <w:p>
      <w:pPr>
        <w:pStyle w:val="Compact"/>
        <w:numPr>
          <w:ilvl w:val="0"/>
          <w:numId w:val="1005"/>
        </w:numPr>
      </w:pPr>
      <w:r>
        <w:t xml:space="preserve">Count: 1200</w:t>
      </w:r>
    </w:p>
    <w:bookmarkEnd w:id="28"/>
    <w:bookmarkStart w:id="29" w:name="totalprice"/>
    <w:p>
      <w:pPr>
        <w:pStyle w:val="Heading2"/>
      </w:pPr>
      <w:r>
        <w:t xml:space="preserve">TotalPrice</w:t>
      </w:r>
    </w:p>
    <w:p>
      <w:pPr>
        <w:pStyle w:val="Compact"/>
        <w:numPr>
          <w:ilvl w:val="0"/>
          <w:numId w:val="1006"/>
        </w:numPr>
      </w:pPr>
      <w:r>
        <w:t xml:space="preserve">Mean: 1053.97</w:t>
      </w:r>
    </w:p>
    <w:p>
      <w:pPr>
        <w:pStyle w:val="Compact"/>
        <w:numPr>
          <w:ilvl w:val="0"/>
          <w:numId w:val="1006"/>
        </w:numPr>
      </w:pPr>
      <w:r>
        <w:t xml:space="preserve">Median: 823.62</w:t>
      </w:r>
    </w:p>
    <w:p>
      <w:pPr>
        <w:pStyle w:val="Compact"/>
        <w:numPr>
          <w:ilvl w:val="0"/>
          <w:numId w:val="1006"/>
        </w:numPr>
      </w:pPr>
      <w:r>
        <w:t xml:space="preserve">Count: 1200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trends-identified"/>
    <w:p>
      <w:pPr>
        <w:pStyle w:val="Heading1"/>
      </w:pPr>
      <w:r>
        <w:t xml:space="preserve">Trends Identified</w:t>
      </w:r>
    </w:p>
    <w:p>
      <w:pPr>
        <w:pStyle w:val="Compact"/>
        <w:numPr>
          <w:ilvl w:val="0"/>
          <w:numId w:val="1007"/>
        </w:numPr>
      </w:pPr>
      <w:r>
        <w:t xml:space="preserve">Customers purchase approximately 3 items per order on average.</w:t>
      </w:r>
    </w:p>
    <w:p>
      <w:pPr>
        <w:pStyle w:val="Compact"/>
        <w:numPr>
          <w:ilvl w:val="0"/>
          <w:numId w:val="1007"/>
        </w:numPr>
      </w:pPr>
      <w:r>
        <w:t xml:space="preserve">The average order value is 1053.97.</w:t>
      </w:r>
    </w:p>
    <w:p>
      <w:pPr>
        <w:pStyle w:val="Compact"/>
        <w:numPr>
          <w:ilvl w:val="0"/>
          <w:numId w:val="1007"/>
        </w:numPr>
      </w:pPr>
      <w:r>
        <w:t xml:space="preserve">Customer orders are distributed across multiple products and payment methods.</w:t>
      </w:r>
    </w:p>
    <w:p>
      <w:pPr>
        <w:pStyle w:val="Compact"/>
        <w:numPr>
          <w:ilvl w:val="0"/>
          <w:numId w:val="1007"/>
        </w:numPr>
      </w:pPr>
      <w:r>
        <w:t xml:space="preserve">Referral sources such as social media and email contribute significantly to customer acquisition.</w:t>
      </w:r>
    </w:p>
    <w:p>
      <w:pPr>
        <w:pStyle w:val="Compact"/>
        <w:numPr>
          <w:ilvl w:val="0"/>
          <w:numId w:val="1007"/>
        </w:numPr>
      </w:pPr>
      <w:r>
        <w:t xml:space="preserve">Most transactions fall within a moderate price range, while a few high-value orders increase the overall average.</w:t>
      </w:r>
    </w:p>
    <w:p>
      <w:r>
        <w:pict>
          <v:rect style="width:0;height:1.5pt" o:hralign="center" o:hrstd="t" o:hr="t"/>
        </w:pict>
      </w:r>
    </w:p>
    <w:bookmarkEnd w:id="31"/>
    <w:bookmarkStart w:id="33" w:name="outlier-analysis"/>
    <w:p>
      <w:pPr>
        <w:pStyle w:val="Heading1"/>
      </w:pPr>
      <w:r>
        <w:t xml:space="preserve">Outlier Analysis</w:t>
      </w:r>
    </w:p>
    <w:bookmarkStart w:id="32" w:name="totalprice-1"/>
    <w:p>
      <w:pPr>
        <w:pStyle w:val="Heading3"/>
      </w:pPr>
      <w:r>
        <w:t xml:space="preserve">TotalPrice</w:t>
      </w:r>
    </w:p>
    <w:p>
      <w:pPr>
        <w:pStyle w:val="Compact"/>
        <w:numPr>
          <w:ilvl w:val="0"/>
          <w:numId w:val="1008"/>
        </w:numPr>
      </w:pPr>
      <w:r>
        <w:t xml:space="preserve">Minimum Value: 11.39</w:t>
      </w:r>
    </w:p>
    <w:p>
      <w:pPr>
        <w:pStyle w:val="Compact"/>
        <w:numPr>
          <w:ilvl w:val="0"/>
          <w:numId w:val="1008"/>
        </w:numPr>
      </w:pPr>
      <w:r>
        <w:t xml:space="preserve">Maximum Value: 3456.40</w:t>
      </w:r>
    </w:p>
    <w:p>
      <w:pPr>
        <w:pStyle w:val="FirstParagraph"/>
      </w:pPr>
      <w:r>
        <w:t xml:space="preserve">The maximum order value is significantly higher than the average order value, indicating the presence of high-value transactions that may be considered outliers.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key-observations"/>
    <w:p>
      <w:pPr>
        <w:pStyle w:val="Heading1"/>
      </w:pPr>
      <w:r>
        <w:t xml:space="preserve">Key Observations</w:t>
      </w:r>
    </w:p>
    <w:p>
      <w:pPr>
        <w:pStyle w:val="Compact"/>
        <w:numPr>
          <w:ilvl w:val="0"/>
          <w:numId w:val="1009"/>
        </w:numPr>
      </w:pPr>
      <w:r>
        <w:t xml:space="preserve">The dataset contains 1200 customer orders.</w:t>
      </w:r>
    </w:p>
    <w:p>
      <w:pPr>
        <w:pStyle w:val="Compact"/>
        <w:numPr>
          <w:ilvl w:val="0"/>
          <w:numId w:val="1009"/>
        </w:numPr>
      </w:pPr>
      <w:r>
        <w:t xml:space="preserve">Average quantity purchased per order is approximately 3 items.</w:t>
      </w:r>
    </w:p>
    <w:p>
      <w:pPr>
        <w:pStyle w:val="Compact"/>
        <w:numPr>
          <w:ilvl w:val="0"/>
          <w:numId w:val="1009"/>
        </w:numPr>
      </w:pPr>
      <w:r>
        <w:t xml:space="preserve">Average order value is 1053.97.</w:t>
      </w:r>
    </w:p>
    <w:p>
      <w:pPr>
        <w:pStyle w:val="Compact"/>
        <w:numPr>
          <w:ilvl w:val="0"/>
          <w:numId w:val="1009"/>
        </w:numPr>
      </w:pPr>
      <w:r>
        <w:t xml:space="preserve">Customer acquisition is influenced by referral sources such as social media and email marketing.</w:t>
      </w:r>
    </w:p>
    <w:p>
      <w:pPr>
        <w:pStyle w:val="Compact"/>
        <w:numPr>
          <w:ilvl w:val="0"/>
          <w:numId w:val="1009"/>
        </w:numPr>
      </w:pPr>
      <w:r>
        <w:t xml:space="preserve">A few exceptionally large orders impact the overall average revenue.</w:t>
      </w:r>
    </w:p>
    <w:p>
      <w:r>
        <w:pict>
          <v:rect style="width:0;height:1.5pt" o:hralign="center" o:hrstd="t" o:hr="t"/>
        </w:pict>
      </w:r>
    </w:p>
    <w:bookmarkEnd w:id="34"/>
    <w:bookmarkStart w:id="35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Exploratory Data Analysis helped in understanding customer purchasing behavior, order values, and overall business patterns. The dataset contains useful information for future business decision-making and advanced analytics. High-value orders were identified as potential outliers, while average purchasing behavior remained relatively consistent across the dataset.</w:t>
      </w:r>
    </w:p>
    <w:p>
      <w:pPr>
        <w:pStyle w:val="BodyText"/>
      </w:pPr>
      <w:r>
        <w:t xml:space="preserve">This analysis demonstrates the importance of EDA in transforming raw data into meaningful insights for business growth and decision-making.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2026-06-20T05:37:47Z</dcterms:created>
  <dcterms:modified xsi:type="dcterms:W3CDTF">2026-06-20T05:37:47Z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