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WIREFRAME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INVESTMENT ANALYSIS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Number - 1.1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Last Date of Revision - 24/09/2022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Arzoo Meshram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 Control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235"/>
        <w:gridCol w:w="2340"/>
        <w:gridCol w:w="2340"/>
        <w:tblGridChange w:id="0">
          <w:tblGrid>
            <w:gridCol w:w="2445"/>
            <w:gridCol w:w="223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28th August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" w:line="256" w:lineRule="auto"/>
              <w:ind w:left="119" w:right="24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Abstract,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2" w:line="256" w:lineRule="auto"/>
              <w:ind w:left="119" w:right="24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Introduction,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2" w:line="256" w:lineRule="auto"/>
              <w:ind w:left="119" w:right="245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General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Arzoo Meshram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18th Sept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" w:line="256" w:lineRule="auto"/>
              <w:ind w:left="119" w:right="14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Design Detail, KPI,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2" w:line="256" w:lineRule="auto"/>
              <w:ind w:left="119" w:right="148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Arzoo Meshram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24th Sept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" w:line="240" w:lineRule="auto"/>
              <w:ind w:left="119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 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Arzoo Meshram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 &amp; Problem statement -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Investment Analytics ultimate goal is to determine whether a certain investment is a good fit for a portfolio. It can also range from a single bond in a personal portfolio to a fledgling business investment and even large-scale corporate ventures.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understand the Foreign Direct Investment in India for the last 17 years from 2000-01 to 2016-17. This dataset contains Sector and Financial Year wise data of FDI in India.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 have performed Exploratory Data Analysis on Jupyter Notebook and then created Dashboard on PowerBI.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Total sectors in Dataset - 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a total 63 sectors in a dataset.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47825" cy="1609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2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