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D262D5">
          <w:pPr>
            <w:pStyle w:val="a0"/>
          </w:pPr>
        </w:p>
        <w:p w14:paraId="43DDA083" w14:textId="4DBAD6A0" w:rsidR="009B4B92" w:rsidRDefault="00555328">
          <w:pPr>
            <w:pStyle w:val="10"/>
            <w:tabs>
              <w:tab w:val="right" w:leader="dot" w:pos="9679"/>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7088339" w:history="1">
            <w:r w:rsidR="009B4B92" w:rsidRPr="006B4267">
              <w:rPr>
                <w:rStyle w:val="af"/>
                <w:rFonts w:ascii="Times New Roman" w:hAnsi="Times New Roman" w:cs="Times New Roman"/>
                <w:noProof/>
              </w:rPr>
              <w:t>Brain State Classification Using Liquid Neural Networks on EEG Data</w:t>
            </w:r>
            <w:r w:rsidR="009B4B92">
              <w:rPr>
                <w:noProof/>
                <w:webHidden/>
              </w:rPr>
              <w:tab/>
            </w:r>
            <w:r w:rsidR="009B4B92">
              <w:rPr>
                <w:noProof/>
                <w:webHidden/>
              </w:rPr>
              <w:fldChar w:fldCharType="begin"/>
            </w:r>
            <w:r w:rsidR="009B4B92">
              <w:rPr>
                <w:noProof/>
                <w:webHidden/>
              </w:rPr>
              <w:instrText xml:space="preserve"> PAGEREF _Toc197088339 \h </w:instrText>
            </w:r>
            <w:r w:rsidR="009B4B92">
              <w:rPr>
                <w:noProof/>
                <w:webHidden/>
              </w:rPr>
            </w:r>
            <w:r w:rsidR="009B4B92">
              <w:rPr>
                <w:noProof/>
                <w:webHidden/>
              </w:rPr>
              <w:fldChar w:fldCharType="separate"/>
            </w:r>
            <w:r w:rsidR="009B4B92">
              <w:rPr>
                <w:noProof/>
                <w:webHidden/>
              </w:rPr>
              <w:t>3</w:t>
            </w:r>
            <w:r w:rsidR="009B4B92">
              <w:rPr>
                <w:noProof/>
                <w:webHidden/>
              </w:rPr>
              <w:fldChar w:fldCharType="end"/>
            </w:r>
          </w:hyperlink>
        </w:p>
        <w:p w14:paraId="2863A4CC" w14:textId="229AD447" w:rsidR="009B4B92" w:rsidRDefault="009B4B92">
          <w:pPr>
            <w:pStyle w:val="21"/>
            <w:tabs>
              <w:tab w:val="right" w:leader="dot" w:pos="9679"/>
            </w:tabs>
            <w:rPr>
              <w:rFonts w:eastAsiaTheme="minorEastAsia"/>
              <w:noProof/>
              <w:kern w:val="2"/>
              <w:lang w:val="ru-RU" w:eastAsia="ru-RU"/>
              <w14:ligatures w14:val="standardContextual"/>
            </w:rPr>
          </w:pPr>
          <w:hyperlink w:anchor="_Toc197088340" w:history="1">
            <w:r w:rsidRPr="006B4267">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_Toc197088340 \h </w:instrText>
            </w:r>
            <w:r>
              <w:rPr>
                <w:noProof/>
                <w:webHidden/>
              </w:rPr>
            </w:r>
            <w:r>
              <w:rPr>
                <w:noProof/>
                <w:webHidden/>
              </w:rPr>
              <w:fldChar w:fldCharType="separate"/>
            </w:r>
            <w:r>
              <w:rPr>
                <w:noProof/>
                <w:webHidden/>
              </w:rPr>
              <w:t>3</w:t>
            </w:r>
            <w:r>
              <w:rPr>
                <w:noProof/>
                <w:webHidden/>
              </w:rPr>
              <w:fldChar w:fldCharType="end"/>
            </w:r>
          </w:hyperlink>
        </w:p>
        <w:p w14:paraId="11B5EC78" w14:textId="4225695A" w:rsidR="009B4B92" w:rsidRDefault="009B4B92">
          <w:pPr>
            <w:pStyle w:val="21"/>
            <w:tabs>
              <w:tab w:val="right" w:leader="dot" w:pos="9679"/>
            </w:tabs>
            <w:rPr>
              <w:rFonts w:eastAsiaTheme="minorEastAsia"/>
              <w:noProof/>
              <w:kern w:val="2"/>
              <w:lang w:val="ru-RU" w:eastAsia="ru-RU"/>
              <w14:ligatures w14:val="standardContextual"/>
            </w:rPr>
          </w:pPr>
          <w:hyperlink w:anchor="_Toc197088341" w:history="1">
            <w:r w:rsidRPr="006B4267">
              <w:rPr>
                <w:rStyle w:val="af"/>
                <w:rFonts w:ascii="Times New Roman" w:hAnsi="Times New Roman" w:cs="Times New Roman"/>
                <w:noProof/>
              </w:rPr>
              <w:t>Related papers</w:t>
            </w:r>
            <w:r>
              <w:rPr>
                <w:noProof/>
                <w:webHidden/>
              </w:rPr>
              <w:tab/>
            </w:r>
            <w:r>
              <w:rPr>
                <w:noProof/>
                <w:webHidden/>
              </w:rPr>
              <w:fldChar w:fldCharType="begin"/>
            </w:r>
            <w:r>
              <w:rPr>
                <w:noProof/>
                <w:webHidden/>
              </w:rPr>
              <w:instrText xml:space="preserve"> PAGEREF _Toc197088341 \h </w:instrText>
            </w:r>
            <w:r>
              <w:rPr>
                <w:noProof/>
                <w:webHidden/>
              </w:rPr>
            </w:r>
            <w:r>
              <w:rPr>
                <w:noProof/>
                <w:webHidden/>
              </w:rPr>
              <w:fldChar w:fldCharType="separate"/>
            </w:r>
            <w:r>
              <w:rPr>
                <w:noProof/>
                <w:webHidden/>
              </w:rPr>
              <w:t>3</w:t>
            </w:r>
            <w:r>
              <w:rPr>
                <w:noProof/>
                <w:webHidden/>
              </w:rPr>
              <w:fldChar w:fldCharType="end"/>
            </w:r>
          </w:hyperlink>
        </w:p>
        <w:p w14:paraId="0B3D8094" w14:textId="001116E0" w:rsidR="009B4B92" w:rsidRDefault="009B4B92">
          <w:pPr>
            <w:pStyle w:val="21"/>
            <w:tabs>
              <w:tab w:val="right" w:leader="dot" w:pos="9679"/>
            </w:tabs>
            <w:rPr>
              <w:rFonts w:eastAsiaTheme="minorEastAsia"/>
              <w:noProof/>
              <w:kern w:val="2"/>
              <w:lang w:val="ru-RU" w:eastAsia="ru-RU"/>
              <w14:ligatures w14:val="standardContextual"/>
            </w:rPr>
          </w:pPr>
          <w:hyperlink w:anchor="_Toc197088342" w:history="1">
            <w:r w:rsidRPr="006B4267">
              <w:rPr>
                <w:rStyle w:val="af"/>
                <w:rFonts w:ascii="Times New Roman" w:hAnsi="Times New Roman" w:cs="Times New Roman"/>
                <w:noProof/>
              </w:rPr>
              <w:t>Data</w:t>
            </w:r>
            <w:r>
              <w:rPr>
                <w:noProof/>
                <w:webHidden/>
              </w:rPr>
              <w:tab/>
            </w:r>
            <w:r>
              <w:rPr>
                <w:noProof/>
                <w:webHidden/>
              </w:rPr>
              <w:fldChar w:fldCharType="begin"/>
            </w:r>
            <w:r>
              <w:rPr>
                <w:noProof/>
                <w:webHidden/>
              </w:rPr>
              <w:instrText xml:space="preserve"> PAGEREF _Toc197088342 \h </w:instrText>
            </w:r>
            <w:r>
              <w:rPr>
                <w:noProof/>
                <w:webHidden/>
              </w:rPr>
            </w:r>
            <w:r>
              <w:rPr>
                <w:noProof/>
                <w:webHidden/>
              </w:rPr>
              <w:fldChar w:fldCharType="separate"/>
            </w:r>
            <w:r>
              <w:rPr>
                <w:noProof/>
                <w:webHidden/>
              </w:rPr>
              <w:t>5</w:t>
            </w:r>
            <w:r>
              <w:rPr>
                <w:noProof/>
                <w:webHidden/>
              </w:rPr>
              <w:fldChar w:fldCharType="end"/>
            </w:r>
          </w:hyperlink>
        </w:p>
        <w:p w14:paraId="517A5E18" w14:textId="79A57CD2" w:rsidR="009B4B92" w:rsidRDefault="009B4B92">
          <w:pPr>
            <w:pStyle w:val="21"/>
            <w:tabs>
              <w:tab w:val="right" w:leader="dot" w:pos="9679"/>
            </w:tabs>
            <w:rPr>
              <w:rFonts w:eastAsiaTheme="minorEastAsia"/>
              <w:noProof/>
              <w:kern w:val="2"/>
              <w:lang w:val="ru-RU" w:eastAsia="ru-RU"/>
              <w14:ligatures w14:val="standardContextual"/>
            </w:rPr>
          </w:pPr>
          <w:hyperlink w:anchor="_Toc197088343" w:history="1">
            <w:r w:rsidRPr="006B4267">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_Toc197088343 \h </w:instrText>
            </w:r>
            <w:r>
              <w:rPr>
                <w:noProof/>
                <w:webHidden/>
              </w:rPr>
            </w:r>
            <w:r>
              <w:rPr>
                <w:noProof/>
                <w:webHidden/>
              </w:rPr>
              <w:fldChar w:fldCharType="separate"/>
            </w:r>
            <w:r>
              <w:rPr>
                <w:noProof/>
                <w:webHidden/>
              </w:rPr>
              <w:t>6</w:t>
            </w:r>
            <w:r>
              <w:rPr>
                <w:noProof/>
                <w:webHidden/>
              </w:rPr>
              <w:fldChar w:fldCharType="end"/>
            </w:r>
          </w:hyperlink>
        </w:p>
        <w:p w14:paraId="5E789EA0" w14:textId="6D39750B" w:rsidR="009B4B92" w:rsidRDefault="009B4B92">
          <w:pPr>
            <w:pStyle w:val="31"/>
            <w:tabs>
              <w:tab w:val="right" w:leader="dot" w:pos="9679"/>
            </w:tabs>
            <w:rPr>
              <w:rFonts w:eastAsiaTheme="minorEastAsia"/>
              <w:noProof/>
              <w:kern w:val="2"/>
              <w:lang w:val="ru-RU" w:eastAsia="ru-RU"/>
              <w14:ligatures w14:val="standardContextual"/>
            </w:rPr>
          </w:pPr>
          <w:hyperlink w:anchor="_Toc197088344" w:history="1">
            <w:r w:rsidRPr="006B4267">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_Toc197088344 \h </w:instrText>
            </w:r>
            <w:r>
              <w:rPr>
                <w:noProof/>
                <w:webHidden/>
              </w:rPr>
            </w:r>
            <w:r>
              <w:rPr>
                <w:noProof/>
                <w:webHidden/>
              </w:rPr>
              <w:fldChar w:fldCharType="separate"/>
            </w:r>
            <w:r>
              <w:rPr>
                <w:noProof/>
                <w:webHidden/>
              </w:rPr>
              <w:t>6</w:t>
            </w:r>
            <w:r>
              <w:rPr>
                <w:noProof/>
                <w:webHidden/>
              </w:rPr>
              <w:fldChar w:fldCharType="end"/>
            </w:r>
          </w:hyperlink>
        </w:p>
        <w:p w14:paraId="546A4D25" w14:textId="70A9AE9F" w:rsidR="009B4B92" w:rsidRDefault="009B4B92">
          <w:pPr>
            <w:pStyle w:val="31"/>
            <w:tabs>
              <w:tab w:val="right" w:leader="dot" w:pos="9679"/>
            </w:tabs>
            <w:rPr>
              <w:rFonts w:eastAsiaTheme="minorEastAsia"/>
              <w:noProof/>
              <w:kern w:val="2"/>
              <w:lang w:val="ru-RU" w:eastAsia="ru-RU"/>
              <w14:ligatures w14:val="standardContextual"/>
            </w:rPr>
          </w:pPr>
          <w:hyperlink w:anchor="_Toc197088345" w:history="1">
            <w:r w:rsidRPr="006B4267">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_Toc197088345 \h </w:instrText>
            </w:r>
            <w:r>
              <w:rPr>
                <w:noProof/>
                <w:webHidden/>
              </w:rPr>
            </w:r>
            <w:r>
              <w:rPr>
                <w:noProof/>
                <w:webHidden/>
              </w:rPr>
              <w:fldChar w:fldCharType="separate"/>
            </w:r>
            <w:r>
              <w:rPr>
                <w:noProof/>
                <w:webHidden/>
              </w:rPr>
              <w:t>7</w:t>
            </w:r>
            <w:r>
              <w:rPr>
                <w:noProof/>
                <w:webHidden/>
              </w:rPr>
              <w:fldChar w:fldCharType="end"/>
            </w:r>
          </w:hyperlink>
        </w:p>
        <w:p w14:paraId="0D1E694C" w14:textId="17DE70DC" w:rsidR="009B4B92" w:rsidRDefault="009B4B92">
          <w:pPr>
            <w:pStyle w:val="31"/>
            <w:tabs>
              <w:tab w:val="right" w:leader="dot" w:pos="9679"/>
            </w:tabs>
            <w:rPr>
              <w:rFonts w:eastAsiaTheme="minorEastAsia"/>
              <w:noProof/>
              <w:kern w:val="2"/>
              <w:lang w:val="ru-RU" w:eastAsia="ru-RU"/>
              <w14:ligatures w14:val="standardContextual"/>
            </w:rPr>
          </w:pPr>
          <w:hyperlink w:anchor="_Toc197088346" w:history="1">
            <w:r w:rsidRPr="006B4267">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_Toc197088346 \h </w:instrText>
            </w:r>
            <w:r>
              <w:rPr>
                <w:noProof/>
                <w:webHidden/>
              </w:rPr>
            </w:r>
            <w:r>
              <w:rPr>
                <w:noProof/>
                <w:webHidden/>
              </w:rPr>
              <w:fldChar w:fldCharType="separate"/>
            </w:r>
            <w:r>
              <w:rPr>
                <w:noProof/>
                <w:webHidden/>
              </w:rPr>
              <w:t>7</w:t>
            </w:r>
            <w:r>
              <w:rPr>
                <w:noProof/>
                <w:webHidden/>
              </w:rPr>
              <w:fldChar w:fldCharType="end"/>
            </w:r>
          </w:hyperlink>
        </w:p>
        <w:p w14:paraId="62BA4ED1" w14:textId="6BDF1BA5" w:rsidR="009B4B92" w:rsidRDefault="009B4B92">
          <w:pPr>
            <w:pStyle w:val="31"/>
            <w:tabs>
              <w:tab w:val="right" w:leader="dot" w:pos="9679"/>
            </w:tabs>
            <w:rPr>
              <w:rFonts w:eastAsiaTheme="minorEastAsia"/>
              <w:noProof/>
              <w:kern w:val="2"/>
              <w:lang w:val="ru-RU" w:eastAsia="ru-RU"/>
              <w14:ligatures w14:val="standardContextual"/>
            </w:rPr>
          </w:pPr>
          <w:hyperlink w:anchor="_Toc197088347" w:history="1">
            <w:r w:rsidRPr="006B4267">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_Toc197088347 \h </w:instrText>
            </w:r>
            <w:r>
              <w:rPr>
                <w:noProof/>
                <w:webHidden/>
              </w:rPr>
            </w:r>
            <w:r>
              <w:rPr>
                <w:noProof/>
                <w:webHidden/>
              </w:rPr>
              <w:fldChar w:fldCharType="separate"/>
            </w:r>
            <w:r>
              <w:rPr>
                <w:noProof/>
                <w:webHidden/>
              </w:rPr>
              <w:t>8</w:t>
            </w:r>
            <w:r>
              <w:rPr>
                <w:noProof/>
                <w:webHidden/>
              </w:rPr>
              <w:fldChar w:fldCharType="end"/>
            </w:r>
          </w:hyperlink>
        </w:p>
        <w:p w14:paraId="206E8956" w14:textId="00C9E34E" w:rsidR="009B4B92" w:rsidRDefault="009B4B92">
          <w:pPr>
            <w:pStyle w:val="21"/>
            <w:tabs>
              <w:tab w:val="right" w:leader="dot" w:pos="9679"/>
            </w:tabs>
            <w:rPr>
              <w:rFonts w:eastAsiaTheme="minorEastAsia"/>
              <w:noProof/>
              <w:kern w:val="2"/>
              <w:lang w:val="ru-RU" w:eastAsia="ru-RU"/>
              <w14:ligatures w14:val="standardContextual"/>
            </w:rPr>
          </w:pPr>
          <w:hyperlink w:anchor="_Toc197088348" w:history="1">
            <w:r w:rsidRPr="006B4267">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_Toc197088348 \h </w:instrText>
            </w:r>
            <w:r>
              <w:rPr>
                <w:noProof/>
                <w:webHidden/>
              </w:rPr>
            </w:r>
            <w:r>
              <w:rPr>
                <w:noProof/>
                <w:webHidden/>
              </w:rPr>
              <w:fldChar w:fldCharType="separate"/>
            </w:r>
            <w:r>
              <w:rPr>
                <w:noProof/>
                <w:webHidden/>
              </w:rPr>
              <w:t>15</w:t>
            </w:r>
            <w:r>
              <w:rPr>
                <w:noProof/>
                <w:webHidden/>
              </w:rPr>
              <w:fldChar w:fldCharType="end"/>
            </w:r>
          </w:hyperlink>
        </w:p>
        <w:p w14:paraId="4B9760D0" w14:textId="1615AD8D" w:rsidR="009B4B92" w:rsidRDefault="009B4B92">
          <w:pPr>
            <w:pStyle w:val="21"/>
            <w:tabs>
              <w:tab w:val="right" w:leader="dot" w:pos="9679"/>
            </w:tabs>
            <w:rPr>
              <w:rFonts w:eastAsiaTheme="minorEastAsia"/>
              <w:noProof/>
              <w:kern w:val="2"/>
              <w:lang w:val="ru-RU" w:eastAsia="ru-RU"/>
              <w14:ligatures w14:val="standardContextual"/>
            </w:rPr>
          </w:pPr>
          <w:hyperlink w:anchor="_Toc197088349" w:history="1">
            <w:r w:rsidRPr="006B4267">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_Toc197088349 \h </w:instrText>
            </w:r>
            <w:r>
              <w:rPr>
                <w:noProof/>
                <w:webHidden/>
              </w:rPr>
            </w:r>
            <w:r>
              <w:rPr>
                <w:noProof/>
                <w:webHidden/>
              </w:rPr>
              <w:fldChar w:fldCharType="separate"/>
            </w:r>
            <w:r>
              <w:rPr>
                <w:noProof/>
                <w:webHidden/>
              </w:rPr>
              <w:t>16</w:t>
            </w:r>
            <w:r>
              <w:rPr>
                <w:noProof/>
                <w:webHidden/>
              </w:rPr>
              <w:fldChar w:fldCharType="end"/>
            </w:r>
          </w:hyperlink>
        </w:p>
        <w:p w14:paraId="133917BD" w14:textId="0969EABA" w:rsidR="00555328" w:rsidRDefault="00555328">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lang w:val="ru-RU"/>
        </w:rPr>
      </w:pPr>
      <w:r>
        <w:rPr>
          <w:rFonts w:ascii="Times New Roman" w:hAnsi="Times New Roman" w:cs="Times New Roman"/>
          <w:lang w:val="ru-RU"/>
        </w:rPr>
        <w:br w:type="page"/>
      </w:r>
    </w:p>
    <w:p w14:paraId="4BCD3833" w14:textId="1F37D11B" w:rsidR="00BC6661" w:rsidRPr="001E235A" w:rsidRDefault="002A2FDD" w:rsidP="00A93B73">
      <w:pPr>
        <w:pStyle w:val="1"/>
        <w:spacing w:before="120" w:after="120"/>
        <w:jc w:val="both"/>
        <w:rPr>
          <w:rFonts w:ascii="Times New Roman" w:hAnsi="Times New Roman" w:cs="Times New Roman"/>
          <w:color w:val="auto"/>
          <w:sz w:val="24"/>
          <w:szCs w:val="24"/>
          <w:highlight w:val="yellow"/>
        </w:rPr>
      </w:pPr>
      <w:bookmarkStart w:id="1" w:name="_Toc197088339"/>
      <w:bookmarkEnd w:id="0"/>
      <w:r w:rsidRPr="002A2FDD">
        <w:rPr>
          <w:rFonts w:ascii="Times New Roman" w:hAnsi="Times New Roman" w:cs="Times New Roman"/>
          <w:color w:val="auto"/>
          <w:sz w:val="24"/>
          <w:szCs w:val="24"/>
        </w:rPr>
        <w:lastRenderedPageBreak/>
        <w:t>Brain State Classification Using Liquid Neural Networks on EEG Data</w:t>
      </w:r>
      <w:bookmarkEnd w:id="1"/>
    </w:p>
    <w:p w14:paraId="0B3F3CFF" w14:textId="187BF8B5" w:rsidR="00666FC1" w:rsidRPr="009073A0" w:rsidRDefault="00666FC1" w:rsidP="00666FC1">
      <w:pPr>
        <w:pStyle w:val="2"/>
        <w:spacing w:before="120" w:after="120"/>
        <w:jc w:val="both"/>
        <w:rPr>
          <w:rFonts w:ascii="Times New Roman" w:hAnsi="Times New Roman" w:cs="Times New Roman"/>
          <w:color w:val="auto"/>
          <w:sz w:val="24"/>
          <w:szCs w:val="24"/>
        </w:rPr>
      </w:pPr>
      <w:bookmarkStart w:id="2" w:name="_Toc197088340"/>
      <w:r>
        <w:rPr>
          <w:rFonts w:ascii="Times New Roman" w:hAnsi="Times New Roman" w:cs="Times New Roman"/>
          <w:color w:val="auto"/>
          <w:sz w:val="24"/>
          <w:szCs w:val="24"/>
        </w:rPr>
        <w:t>Introduction</w:t>
      </w:r>
      <w:bookmarkEnd w:id="2"/>
    </w:p>
    <w:p w14:paraId="3F3AE1C6" w14:textId="5744CEC3"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Understanding and classifying human cognitive states through non-invasive means has long been a compelling goal in neuroscience, education, and human-computer interaction. Among the many technologies developed for this purpose, electroencephalograph</w:t>
      </w:r>
      <w:r w:rsidR="00CF7541">
        <w:rPr>
          <w:rFonts w:ascii="Times New Roman" w:hAnsi="Times New Roman" w:cs="Times New Roman"/>
        </w:rPr>
        <w:t>y</w:t>
      </w:r>
      <w:r w:rsidRPr="00542B3B">
        <w:rPr>
          <w:rFonts w:ascii="Times New Roman" w:hAnsi="Times New Roman" w:cs="Times New Roman"/>
        </w:rPr>
        <w:t xml:space="preserve"> stands out for its affordability, portability, and ability to capture dynamic brain activity in real time. EEG data, rich in temporal and spectral complexity, has proven useful in detecting mental states such as fatigue, attention, drowsiness, and confusion. However, effectively interpreting this data remains a technical challenge due to its susceptibility to noise, individual variability, and the intricacy of brain dynamics.</w:t>
      </w:r>
    </w:p>
    <w:p w14:paraId="42AD1407" w14:textId="74ABEF4C"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Recent advances in machine learning have considerably improved our ability to decode EEG signals. Traditional classifiers such as Support Vector Machines and Naive Bayes models have achieved high accuracy in detecting overt mental states like drowsiness and epileptic seizures. Yet, more subtle cognitive states</w:t>
      </w:r>
      <w:r w:rsidR="006A7931">
        <w:rPr>
          <w:rFonts w:ascii="Times New Roman" w:hAnsi="Times New Roman" w:cs="Times New Roman"/>
        </w:rPr>
        <w:t xml:space="preserve"> – </w:t>
      </w:r>
      <w:r w:rsidRPr="00542B3B">
        <w:rPr>
          <w:rFonts w:ascii="Times New Roman" w:hAnsi="Times New Roman" w:cs="Times New Roman"/>
        </w:rPr>
        <w:t>particularly confusion during learning</w:t>
      </w:r>
      <w:r w:rsidR="006A7931">
        <w:rPr>
          <w:rFonts w:ascii="Times New Roman" w:hAnsi="Times New Roman" w:cs="Times New Roman"/>
        </w:rPr>
        <w:t xml:space="preserve"> – </w:t>
      </w:r>
      <w:r w:rsidRPr="00542B3B">
        <w:rPr>
          <w:rFonts w:ascii="Times New Roman" w:hAnsi="Times New Roman" w:cs="Times New Roman"/>
        </w:rPr>
        <w:t>pose a harder problem. These require models that can account for temporal dependencies and nonlinear interactions within the EEG signal. Deep learning models such as Long Short-Term Memory networks and Gated Recurrent Units have shown promise in this regard by effectively modeling EEG sequences as time-series data. Their ability to retain and process long-range dependencies makes them especially useful for continuous monitoring applications like adaptive education platforms and brain-computer interfaces.</w:t>
      </w:r>
    </w:p>
    <w:p w14:paraId="0C4B2AE8" w14:textId="3317C617"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Nevertheless, even the most advanced recurrent architectures face limitations in adaptability and generalization, especially in the presence of non-stationary signals and context changes. This is where Liquid Neural Networks present a compelling alternative. Inspired by biological neuronal dynamics, LNNs feature continuously evolving internal states that allow them to adapt in real time to new patterns without requiring retraining. Their internal memory mechanisms and low parameter overhead make them particularly suitable for real-world, on-device EEG analysis where computational resources may be limited, and data conditions are unpredictable.</w:t>
      </w:r>
    </w:p>
    <w:p w14:paraId="03F8238E" w14:textId="1174A3BC"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This thesis explores and compares the performance of three neural architectures</w:t>
      </w:r>
      <w:r w:rsidR="001552F7">
        <w:rPr>
          <w:rFonts w:ascii="Times New Roman" w:hAnsi="Times New Roman" w:cs="Times New Roman"/>
        </w:rPr>
        <w:t xml:space="preserve"> – </w:t>
      </w:r>
      <w:r w:rsidRPr="00542B3B">
        <w:rPr>
          <w:rFonts w:ascii="Times New Roman" w:hAnsi="Times New Roman" w:cs="Times New Roman"/>
        </w:rPr>
        <w:t>GRUs, LSTMs, and Liquid Neural Networks</w:t>
      </w:r>
      <w:r w:rsidR="001552F7">
        <w:rPr>
          <w:rFonts w:ascii="Times New Roman" w:hAnsi="Times New Roman" w:cs="Times New Roman"/>
        </w:rPr>
        <w:t xml:space="preserve"> – </w:t>
      </w:r>
      <w:r w:rsidRPr="00542B3B">
        <w:rPr>
          <w:rFonts w:ascii="Times New Roman" w:hAnsi="Times New Roman" w:cs="Times New Roman"/>
        </w:rPr>
        <w:t>on the task of classifying cognitive confusion from EEG recordings. The data used in this study comes from a controlled experiment in which students watched educational videos categorized as either confusing or non-confusing. EEG signals were recorded from the frontal lobe using a low-cost headset, capturing activity across eight standard frequency bands. The objective is to determine how effectively each neural network model can classify a student's cognitive state based solely on temporal patterns in their EEG signals.</w:t>
      </w:r>
    </w:p>
    <w:p w14:paraId="45BB4033" w14:textId="77777777"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In doing so, this work contributes to the broader effort of developing scalable, real-time brain state classification systems that can be used in personalized learning environments, mental workload monitoring, and future BCI applications. Particular attention is given to the adaptability and efficiency of Liquid Neural Networks, evaluating whether their biologically inspired architecture offers advantages over traditional recurrent models in capturing the complexity and variability of cognitive states in EEG data.</w:t>
      </w:r>
    </w:p>
    <w:p w14:paraId="7CEC6725" w14:textId="4B219FD5" w:rsidR="009073A0" w:rsidRPr="009073A0" w:rsidRDefault="00000A48" w:rsidP="00542B3B">
      <w:pPr>
        <w:pStyle w:val="2"/>
        <w:spacing w:before="120" w:after="120"/>
        <w:jc w:val="both"/>
        <w:rPr>
          <w:rFonts w:ascii="Times New Roman" w:hAnsi="Times New Roman" w:cs="Times New Roman"/>
          <w:color w:val="auto"/>
          <w:sz w:val="24"/>
          <w:szCs w:val="24"/>
        </w:rPr>
      </w:pPr>
      <w:bookmarkStart w:id="3" w:name="_Toc197088341"/>
      <w:r>
        <w:rPr>
          <w:rFonts w:ascii="Times New Roman" w:hAnsi="Times New Roman" w:cs="Times New Roman"/>
          <w:color w:val="auto"/>
          <w:sz w:val="24"/>
          <w:szCs w:val="24"/>
        </w:rPr>
        <w:t>Related papers</w:t>
      </w:r>
      <w:bookmarkEnd w:id="3"/>
    </w:p>
    <w:p w14:paraId="5C89C9B5" w14:textId="01575E37"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 xml:space="preserve">Electroencephalography (EEG) has long been established as a non-invasive and cost-effective method for monitoring brain activity, providing crucial insights into cognitive states such as confusion, fatigue, and mental workload. With the advent of machine learning and deep learning, the interpretation and classification of EEG signals have seen substantial improvements in terms of </w:t>
      </w:r>
      <w:r w:rsidRPr="009073A0">
        <w:rPr>
          <w:rFonts w:ascii="Times New Roman" w:hAnsi="Times New Roman" w:cs="Times New Roman"/>
        </w:rPr>
        <w:lastRenderedPageBreak/>
        <w:t>accuracy, scalability, and robustness. The integration of various neural network models, including GRUs, LSTMs, and Liquid Neural Networks, has opened new possibilities in decoding and understanding brain signals with greater fidelity.</w:t>
      </w:r>
    </w:p>
    <w:p w14:paraId="43DBF4BB" w14:textId="1FFF8B06"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The application of ML techniques to EEG data has historically produced significant results in detecting various mental and physiological states. Support Vector Machines, for example, have shown excellent performance in classifying driver drowsiness using features extracted from multiple EEG frequency bands, achieving accuracy as high as 99.3%. Similarly, they have been employed to detect epileptic seizures with perfect classification results in controlled studies. For more nuanced cognitive states like confusion, simpler classifiers such as Gaussian Naive Bayes have shown limited performance, achieving only moderate accuracy levels. These initial explorations emphasized the need for more advanced methods capable of modeling the temporal complexity and noise inherent in EEG signals.</w:t>
      </w:r>
    </w:p>
    <w:p w14:paraId="40C616AC" w14:textId="0200D24F"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The rise of deep learning brought transformative improvements. Deep Belief Networks, for instance, demonstrated the ability to extract high-level features from raw EEG data and outperformed traditional dimensionality reduction techniques such as PCA. When applied to driver cognitive state prediction, DBNs yielded better performance than earlier shallow learning methods. Convolutional DBNs went further by capturing spatial and temporal relationships within the EEG data, offering more reliable classification outcomes. Given that EEG signals inherently possess a sequential structure, Recurrent Neural Network</w:t>
      </w:r>
      <w:r w:rsidR="00A46F49">
        <w:rPr>
          <w:rFonts w:ascii="Times New Roman" w:hAnsi="Times New Roman" w:cs="Times New Roman"/>
        </w:rPr>
        <w:t>s</w:t>
      </w:r>
      <w:r w:rsidRPr="009073A0">
        <w:rPr>
          <w:rFonts w:ascii="Times New Roman" w:hAnsi="Times New Roman" w:cs="Times New Roman"/>
        </w:rPr>
        <w:t>, and more specifically Long Short-Term Memory</w:t>
      </w:r>
      <w:r w:rsidR="00A46F49">
        <w:rPr>
          <w:rFonts w:ascii="Times New Roman" w:hAnsi="Times New Roman" w:cs="Times New Roman"/>
        </w:rPr>
        <w:t xml:space="preserve"> </w:t>
      </w:r>
      <w:r w:rsidRPr="009073A0">
        <w:rPr>
          <w:rFonts w:ascii="Times New Roman" w:hAnsi="Times New Roman" w:cs="Times New Roman"/>
        </w:rPr>
        <w:t>networks, emerged as a natural fit. These architectures are adept at modeling time-series data and have proven effective in identifying patterns over extended time windows, such as in early Alzheimer's detection and real-time confusion monitoring during MOOC learning sessions.</w:t>
      </w:r>
    </w:p>
    <w:p w14:paraId="35F77B39" w14:textId="3853D917"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To accelerate model convergence and improve training stability, batch normalization techniques have been integrated into deep neural architectures. Applying batch normalization to recurrent structures like LSTMs has been shown to enhance both training speed and final performance, making deep models more practical for real-world EEG applications. This methodological advance is particularly important in scenarios that require real-time inference, such as in adaptive learning environments or brain-computer interface systems.</w:t>
      </w:r>
    </w:p>
    <w:p w14:paraId="79732CCE" w14:textId="1921B7BD"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More recently, Liquid Neural Networks have emerged as a powerful alternative to traditional RNNs and LSTMs. These networks possess dynamic parameters that evolve with input data, allowing them to adapt to new patterns without retraining. This characteristic is especially valuable for EEG-based systems where input signals can vary significantly over time due to noise, external conditions, or individual differences. LNNs have demonstrated superiority over static models, particularly in environments with abrupt shifts in data distributions. Their performance in removing complex, noisy signals—such as those derived from aircraft magnetic fields—underscores their utility in filtering EEG noise, which is often a major challenge in brain signal analysis.</w:t>
      </w:r>
    </w:p>
    <w:p w14:paraId="309807B2" w14:textId="3D9299F0"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The use of LNNs has also extended beyond neuroscience. For example, they have been employed in optimizing urban communication networks and aeromagnetic compensation, consistently demonstrating their capacity to adapt and maintain performance without requiring frequent updates or retraining. These capabilities strongly parallel the demands of EEG signal processing, where robustness and adaptability are essential.</w:t>
      </w:r>
    </w:p>
    <w:p w14:paraId="72E87F0B" w14:textId="0C41DE7E"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 xml:space="preserve">Architecturally, recent enhancements to LNNs have included the development of Neural Circuit Policies, which are built on the principles of biological nervous systems. NCPs utilize sparsely connected Liquid Time-Constant neurons, leading to efficient and interpretable models. Furthermore, Continuous-Time Liquid Neural Networks have simplified training and inference by eliminating the need for numerical solvers, thereby making real-time applications more viable. </w:t>
      </w:r>
      <w:r w:rsidRPr="009073A0">
        <w:rPr>
          <w:rFonts w:ascii="Times New Roman" w:hAnsi="Times New Roman" w:cs="Times New Roman"/>
        </w:rPr>
        <w:lastRenderedPageBreak/>
        <w:t>These innovations highlight the increasing relevance of LNNs in EEG research, particularly for applications that require quick adaptation and minimal computational overhead.</w:t>
      </w:r>
    </w:p>
    <w:p w14:paraId="38C17913" w14:textId="745AB229"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While traditional deep learning models such as LSTMs and GRUs have shown considerable promise in modeling EEG time-series, they often face limitations when dealing with non-stationary data streams or adapting to new contexts without retraining. LNNs, by contrast, offer a biologically inspired solution that inherently accommodates data variability and noise. Their dynamic temporal modeling capabilities suggest they may outperform static architectures in scenarios involving real-time EEG interpretation and cognitive state monitoring.</w:t>
      </w:r>
    </w:p>
    <w:p w14:paraId="7063A2C1" w14:textId="5671CC66"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In addition to modeling innovations, addressing confounding factors remains a challenge in EEG data analysis. Approaches like Select-Additive Learning and confounder-aware training frameworks have been developed to mitigate the impact of irrelevant data components on model performance. While effective, these methods often require auxiliary models or significant architecture changes. LNNs may inherently possess an advantage here, as their dynamic nature allows them to filter extraneous patterns more organically, potentially simplifying the modeling process.</w:t>
      </w:r>
    </w:p>
    <w:p w14:paraId="669FA126" w14:textId="77777777"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 xml:space="preserve">The integration of LSTM, GRU, and Liquid Neural Network models in EEG research marks a significant shift towards more adaptive, noise-resilient, and computationally efficient systems. Each of these architectures contributes unique strengths: LSTMs with their ability to handle long-term dependencies, GRUs offering computational efficiency with fewer parameters, and LNNs providing adaptability and robustness in dynamic environments. As this thesis progresses, the comparative evaluation of these models in the context of EEG-based cognitive state classification will highlight their respective advantages and potential for enhancing brain-computer interface technologies and educational cognitive monitoring systems. </w:t>
      </w:r>
    </w:p>
    <w:p w14:paraId="1A4F2B2D" w14:textId="60CAFED8" w:rsidR="00BC6661" w:rsidRPr="002646C5" w:rsidRDefault="001E235A" w:rsidP="009073A0">
      <w:pPr>
        <w:pStyle w:val="2"/>
        <w:spacing w:before="120" w:after="120"/>
        <w:jc w:val="both"/>
        <w:rPr>
          <w:rFonts w:ascii="Times New Roman" w:hAnsi="Times New Roman" w:cs="Times New Roman"/>
          <w:color w:val="auto"/>
          <w:sz w:val="24"/>
          <w:szCs w:val="24"/>
        </w:rPr>
      </w:pPr>
      <w:bookmarkStart w:id="4" w:name="_Toc197088342"/>
      <w:r>
        <w:rPr>
          <w:rFonts w:ascii="Times New Roman" w:hAnsi="Times New Roman" w:cs="Times New Roman"/>
          <w:color w:val="auto"/>
          <w:sz w:val="24"/>
          <w:szCs w:val="24"/>
        </w:rPr>
        <w:t>Data</w:t>
      </w:r>
      <w:bookmarkEnd w:id="4"/>
    </w:p>
    <w:p w14:paraId="3AF60CA1"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responses—specifically confusion—in students viewing online educational video content. The data were collected under controlled experimental conditions, with the aim of studying how EEG signals reflect varying levels of cognitive load during learning.</w:t>
      </w:r>
    </w:p>
    <w:p w14:paraId="58D6E784" w14:textId="0BDDC46C"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includes recordings from ten college students, each of whom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4DBA0468" w14:textId="5CBB20E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p w14:paraId="7447DE86"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eight channels were the sole features used in this study. All other available information—such as participant demographics or specific details about the videos—was excluded from the analysis. The objective was to evaluate confusion purely from the perspective of neural signal data.</w:t>
      </w:r>
    </w:p>
    <w:p w14:paraId="753657A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confusion—operationalized at the video level—can be predicted from EEG features alone.</w:t>
      </w:r>
    </w:p>
    <w:p w14:paraId="687CEB61" w14:textId="11E9F43E"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20D1C234" w14:textId="58C28C0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5C0955DC" w14:textId="05F0B1E4"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E08A50C" w14:textId="296ACDD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5ECDF35"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1FD9985C" w14:textId="395B08E2" w:rsidR="00BC6661" w:rsidRPr="00B467EA" w:rsidRDefault="00C86226" w:rsidP="00A93B73">
      <w:pPr>
        <w:pStyle w:val="2"/>
        <w:spacing w:before="120" w:after="120"/>
        <w:jc w:val="both"/>
        <w:rPr>
          <w:rFonts w:ascii="Times New Roman" w:hAnsi="Times New Roman" w:cs="Times New Roman"/>
          <w:color w:val="auto"/>
          <w:sz w:val="24"/>
          <w:szCs w:val="24"/>
        </w:rPr>
      </w:pPr>
      <w:bookmarkStart w:id="5" w:name="_Toc197088343"/>
      <w:r w:rsidRPr="00B467EA">
        <w:rPr>
          <w:rFonts w:ascii="Times New Roman" w:hAnsi="Times New Roman" w:cs="Times New Roman"/>
          <w:color w:val="auto"/>
          <w:sz w:val="24"/>
          <w:szCs w:val="24"/>
        </w:rPr>
        <w:t>Methodology</w:t>
      </w:r>
      <w:bookmarkEnd w:id="5"/>
    </w:p>
    <w:p w14:paraId="79B6B62B" w14:textId="77777777" w:rsidR="00BC6661" w:rsidRPr="00B467EA" w:rsidRDefault="00DC3589" w:rsidP="00A93B73">
      <w:pPr>
        <w:pStyle w:val="3"/>
        <w:spacing w:before="120" w:after="120"/>
        <w:jc w:val="both"/>
        <w:rPr>
          <w:rFonts w:ascii="Times New Roman" w:hAnsi="Times New Roman" w:cs="Times New Roman"/>
          <w:color w:val="auto"/>
        </w:rPr>
      </w:pPr>
      <w:bookmarkStart w:id="6" w:name="training-setup"/>
      <w:bookmarkStart w:id="7" w:name="_Toc197088344"/>
      <w:r w:rsidRPr="00B467EA">
        <w:rPr>
          <w:rFonts w:ascii="Times New Roman" w:hAnsi="Times New Roman" w:cs="Times New Roman"/>
          <w:color w:val="auto"/>
        </w:rPr>
        <w:t>Training setup</w:t>
      </w:r>
      <w:bookmarkEnd w:id="6"/>
      <w:bookmarkEnd w:id="7"/>
    </w:p>
    <w:p w14:paraId="51A8F88D" w14:textId="2886FC07"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17191223"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xml:space="preserve">. To ensure robust and reliable evaluation, multiple distinct and fixed data splits were created. All models were trained and evaluated on the same series of partitions, ensuring </w:t>
      </w:r>
      <w:r w:rsidRPr="002B6695">
        <w:rPr>
          <w:rFonts w:ascii="Times New Roman" w:hAnsi="Times New Roman" w:cs="Times New Roman"/>
        </w:rPr>
        <w:lastRenderedPageBreak/>
        <w:t>comparability across experiments while mitigating the effect of variance due to random sampling. Each model was trained for the same number of epochs, standardizing training duration across all experiments.</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B467EA" w:rsidRDefault="005D4400" w:rsidP="00A93B73">
      <w:pPr>
        <w:pStyle w:val="3"/>
        <w:spacing w:before="120" w:after="120"/>
        <w:jc w:val="both"/>
        <w:rPr>
          <w:rFonts w:ascii="Times New Roman" w:hAnsi="Times New Roman" w:cs="Times New Roman"/>
          <w:color w:val="auto"/>
        </w:rPr>
      </w:pPr>
      <w:bookmarkStart w:id="8" w:name="_Toc197088345"/>
      <w:r w:rsidRPr="00B467EA">
        <w:rPr>
          <w:rFonts w:ascii="Times New Roman" w:hAnsi="Times New Roman" w:cs="Times New Roman"/>
          <w:color w:val="auto"/>
        </w:rPr>
        <w:t>Quality metrics</w:t>
      </w:r>
      <w:bookmarkEnd w:id="8"/>
    </w:p>
    <w:p w14:paraId="2A219B45" w14:textId="7EE319F5"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16225A9" w14:textId="470CDBD8"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29B9FA2C"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p>
    <w:p w14:paraId="40EC0947" w14:textId="3DEF3914" w:rsidR="00CE3D02"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B467EA" w:rsidRDefault="00DC3589" w:rsidP="00A93B73">
      <w:pPr>
        <w:pStyle w:val="3"/>
        <w:spacing w:before="120" w:after="120"/>
        <w:jc w:val="both"/>
        <w:rPr>
          <w:rFonts w:ascii="Times New Roman" w:hAnsi="Times New Roman" w:cs="Times New Roman"/>
          <w:color w:val="auto"/>
        </w:rPr>
      </w:pPr>
      <w:bookmarkStart w:id="9" w:name="methodology"/>
      <w:bookmarkStart w:id="10" w:name="_Toc197088346"/>
      <w:r w:rsidRPr="00B467EA">
        <w:rPr>
          <w:rFonts w:ascii="Times New Roman" w:hAnsi="Times New Roman" w:cs="Times New Roman"/>
          <w:color w:val="auto"/>
        </w:rPr>
        <w:t>M</w:t>
      </w:r>
      <w:bookmarkEnd w:id="9"/>
      <w:r w:rsidR="00C86226" w:rsidRPr="00B467EA">
        <w:rPr>
          <w:rFonts w:ascii="Times New Roman" w:hAnsi="Times New Roman" w:cs="Times New Roman"/>
          <w:color w:val="auto"/>
        </w:rPr>
        <w:t>odels</w:t>
      </w:r>
      <w:bookmarkEnd w:id="10"/>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 xml:space="preserve">GRU-based networks: These models leveraged Gated Recurrent Units, which are well-suited for capturing temporal dependencies in sequential data while maintaining a relatively </w:t>
      </w:r>
      <w:r w:rsidRPr="00B467EA">
        <w:rPr>
          <w:rFonts w:ascii="Times New Roman" w:hAnsi="Times New Roman" w:cs="Times New Roman"/>
        </w:rPr>
        <w:lastRenderedPageBreak/>
        <w:t>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4E883318"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(LSNNs): Inspired by biologically plausible models, these networks incorporate liquid time-constant dynamics, allowing them to adapt their memory and response patterns over time. LSNNs were included to investigate whether models with non-static internal dynamics could outperform more traditional RNN variants on EEG time series data.</w:t>
      </w:r>
    </w:p>
    <w:p w14:paraId="20D88625" w14:textId="6108D070"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p>
    <w:p w14:paraId="286097A5" w14:textId="51595DB2" w:rsidR="00234EE4" w:rsidRPr="004E141E"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All hyperparameters—including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were manually selected based on preliminary testing and domain knowledge. These settings were held constant across similar models within each experimental group to ensure fair comparisons.</w:t>
      </w:r>
    </w:p>
    <w:p w14:paraId="278C610B" w14:textId="2D783C58" w:rsidR="008A1F04" w:rsidRPr="008A1F04" w:rsidRDefault="00C86226" w:rsidP="00A93B73">
      <w:pPr>
        <w:pStyle w:val="3"/>
        <w:spacing w:before="120" w:after="120"/>
        <w:jc w:val="both"/>
        <w:rPr>
          <w:rFonts w:ascii="Times New Roman" w:hAnsi="Times New Roman" w:cs="Times New Roman"/>
          <w:color w:val="auto"/>
        </w:rPr>
      </w:pPr>
      <w:bookmarkStart w:id="11" w:name="results"/>
      <w:bookmarkStart w:id="12" w:name="_Toc197088347"/>
      <w:r w:rsidRPr="002B6695">
        <w:rPr>
          <w:rFonts w:ascii="Times New Roman" w:hAnsi="Times New Roman" w:cs="Times New Roman"/>
          <w:color w:val="auto"/>
        </w:rPr>
        <w:t xml:space="preserve">Experimental </w:t>
      </w:r>
      <w:r w:rsidR="00DC3589" w:rsidRPr="002B6695">
        <w:rPr>
          <w:rFonts w:ascii="Times New Roman" w:hAnsi="Times New Roman" w:cs="Times New Roman"/>
          <w:color w:val="auto"/>
        </w:rPr>
        <w:t>Results</w:t>
      </w:r>
      <w:bookmarkEnd w:id="11"/>
      <w:bookmarkEnd w:id="12"/>
    </w:p>
    <w:p w14:paraId="642EE7CE" w14:textId="11471618"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77777777"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This FC model achieved an average validation accuracy of 0.63, consistent with the source paper. However, the model contained 54,983 parameters, and its inability to account for temporal dynamics limited its effectiveness when compared to time-series-oriented approaches.</w:t>
      </w:r>
    </w:p>
    <w:p w14:paraId="545B6F0C" w14:textId="5EBB9006"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Implemented models</w:t>
      </w:r>
    </w:p>
    <w:p w14:paraId="72400000" w14:textId="1C4D0107"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(LSNN).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P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tbl>
      <w:tblPr>
        <w:tblStyle w:val="af7"/>
        <w:tblW w:w="0" w:type="auto"/>
        <w:tblBorders>
          <w:insideH w:val="none" w:sz="0" w:space="0" w:color="auto"/>
          <w:insideV w:val="none" w:sz="0" w:space="0" w:color="auto"/>
        </w:tblBorders>
        <w:tblLook w:val="04A0" w:firstRow="1" w:lastRow="0" w:firstColumn="1" w:lastColumn="0" w:noHBand="0" w:noVBand="1"/>
      </w:tblPr>
      <w:tblGrid>
        <w:gridCol w:w="1384"/>
        <w:gridCol w:w="2410"/>
        <w:gridCol w:w="2835"/>
        <w:gridCol w:w="3276"/>
      </w:tblGrid>
      <w:tr w:rsidR="00E0753E" w14:paraId="380078DF" w14:textId="77777777" w:rsidTr="006D51D7">
        <w:tc>
          <w:tcPr>
            <w:tcW w:w="1384" w:type="dxa"/>
            <w:tcBorders>
              <w:right w:val="single" w:sz="4" w:space="0" w:color="auto"/>
            </w:tcBorders>
          </w:tcPr>
          <w:p w14:paraId="42F23062" w14:textId="4A65F1C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lastRenderedPageBreak/>
              <w:t>Name</w:t>
            </w:r>
          </w:p>
        </w:tc>
        <w:tc>
          <w:tcPr>
            <w:tcW w:w="2410" w:type="dxa"/>
            <w:tcBorders>
              <w:top w:val="single" w:sz="4" w:space="0" w:color="auto"/>
              <w:left w:val="single" w:sz="4" w:space="0" w:color="auto"/>
              <w:bottom w:val="nil"/>
              <w:right w:val="single" w:sz="4" w:space="0" w:color="auto"/>
            </w:tcBorders>
          </w:tcPr>
          <w:p w14:paraId="6036ED9A" w14:textId="6A955321"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GRU</w:t>
            </w:r>
          </w:p>
        </w:tc>
        <w:tc>
          <w:tcPr>
            <w:tcW w:w="2835" w:type="dxa"/>
            <w:tcBorders>
              <w:top w:val="single" w:sz="4" w:space="0" w:color="auto"/>
              <w:left w:val="single" w:sz="4" w:space="0" w:color="auto"/>
              <w:bottom w:val="nil"/>
              <w:right w:val="single" w:sz="4" w:space="0" w:color="auto"/>
            </w:tcBorders>
          </w:tcPr>
          <w:p w14:paraId="0EB74C15" w14:textId="47D40CF5" w:rsidR="00E0753E" w:rsidRPr="00E0753E" w:rsidRDefault="00E0753E" w:rsidP="00E0753E">
            <w:pPr>
              <w:pStyle w:val="a0"/>
              <w:tabs>
                <w:tab w:val="left" w:pos="1169"/>
              </w:tabs>
              <w:rPr>
                <w:rFonts w:ascii="Times New Roman" w:hAnsi="Times New Roman" w:cs="Times New Roman"/>
                <w:b/>
                <w:bCs/>
                <w:sz w:val="16"/>
                <w:szCs w:val="16"/>
              </w:rPr>
            </w:pPr>
            <w:r w:rsidRPr="00E0753E">
              <w:rPr>
                <w:rFonts w:ascii="Times New Roman" w:hAnsi="Times New Roman" w:cs="Times New Roman"/>
                <w:b/>
                <w:bCs/>
                <w:sz w:val="16"/>
                <w:szCs w:val="16"/>
              </w:rPr>
              <w:t>LSTM</w:t>
            </w:r>
          </w:p>
        </w:tc>
        <w:tc>
          <w:tcPr>
            <w:tcW w:w="3276" w:type="dxa"/>
            <w:tcBorders>
              <w:left w:val="single" w:sz="4" w:space="0" w:color="auto"/>
            </w:tcBorders>
          </w:tcPr>
          <w:p w14:paraId="36460A28" w14:textId="78B1D30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L</w:t>
            </w:r>
            <w:r>
              <w:rPr>
                <w:rFonts w:ascii="Times New Roman" w:hAnsi="Times New Roman" w:cs="Times New Roman"/>
                <w:b/>
                <w:bCs/>
                <w:sz w:val="16"/>
                <w:szCs w:val="16"/>
              </w:rPr>
              <w:t>SNN</w:t>
            </w:r>
          </w:p>
        </w:tc>
      </w:tr>
      <w:tr w:rsidR="00E0753E" w14:paraId="0E64F1F4" w14:textId="77777777" w:rsidTr="006D51D7">
        <w:tc>
          <w:tcPr>
            <w:tcW w:w="1384" w:type="dxa"/>
            <w:tcBorders>
              <w:right w:val="single" w:sz="4" w:space="0" w:color="auto"/>
            </w:tcBorders>
          </w:tcPr>
          <w:p w14:paraId="0E164FEF" w14:textId="423C0AE4"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Architecture</w:t>
            </w:r>
          </w:p>
        </w:tc>
        <w:tc>
          <w:tcPr>
            <w:tcW w:w="2410" w:type="dxa"/>
            <w:tcBorders>
              <w:top w:val="nil"/>
              <w:left w:val="single" w:sz="4" w:space="0" w:color="auto"/>
              <w:bottom w:val="nil"/>
              <w:right w:val="single" w:sz="4" w:space="0" w:color="auto"/>
            </w:tcBorders>
          </w:tcPr>
          <w:p w14:paraId="13EA6D8C"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2379458A"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7E6D830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4A48200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sequences)</w:t>
            </w:r>
          </w:p>
          <w:p w14:paraId="4C014B7D"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final)</w:t>
            </w:r>
          </w:p>
          <w:p w14:paraId="09052BEA" w14:textId="350D2FAA"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c>
          <w:tcPr>
            <w:tcW w:w="2835" w:type="dxa"/>
            <w:tcBorders>
              <w:top w:val="nil"/>
              <w:left w:val="single" w:sz="4" w:space="0" w:color="auto"/>
              <w:bottom w:val="nil"/>
              <w:right w:val="single" w:sz="4" w:space="0" w:color="auto"/>
            </w:tcBorders>
          </w:tcPr>
          <w:p w14:paraId="4B3DAA12"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17B25AE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3055BB50"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63FFC7C6"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sequences)</w:t>
            </w:r>
          </w:p>
          <w:p w14:paraId="669FDD5B"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final)</w:t>
            </w:r>
          </w:p>
          <w:p w14:paraId="1DFBD18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p w14:paraId="5DF2CB48" w14:textId="1348BD76" w:rsidR="00E0753E" w:rsidRPr="00E0753E" w:rsidRDefault="00E0753E" w:rsidP="00E0753E">
            <w:pPr>
              <w:pStyle w:val="a0"/>
              <w:rPr>
                <w:rFonts w:ascii="Times New Roman" w:hAnsi="Times New Roman" w:cs="Times New Roman"/>
                <w:sz w:val="16"/>
                <w:szCs w:val="16"/>
              </w:rPr>
            </w:pPr>
          </w:p>
        </w:tc>
        <w:tc>
          <w:tcPr>
            <w:tcW w:w="3276" w:type="dxa"/>
            <w:tcBorders>
              <w:left w:val="single" w:sz="4" w:space="0" w:color="auto"/>
            </w:tcBorders>
          </w:tcPr>
          <w:p w14:paraId="02110E2F"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6359CF87"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AutoNCP topology of 32 neurons and 16 interconnections (return final)</w:t>
            </w:r>
          </w:p>
          <w:p w14:paraId="26726A4E" w14:textId="0505BDB1"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r>
      <w:tr w:rsidR="00E0753E" w14:paraId="01158B51" w14:textId="77777777" w:rsidTr="006D51D7">
        <w:tc>
          <w:tcPr>
            <w:tcW w:w="1384" w:type="dxa"/>
            <w:tcBorders>
              <w:right w:val="single" w:sz="4" w:space="0" w:color="auto"/>
            </w:tcBorders>
          </w:tcPr>
          <w:p w14:paraId="280D6EDC" w14:textId="57CFD980" w:rsidR="00E0753E" w:rsidRPr="00E0753E" w:rsidRDefault="00E0753E" w:rsidP="00E0753E">
            <w:pPr>
              <w:pStyle w:val="a0"/>
              <w:rPr>
                <w:rFonts w:ascii="Times New Roman" w:hAnsi="Times New Roman" w:cs="Times New Roman"/>
                <w:b/>
                <w:bCs/>
                <w:sz w:val="16"/>
                <w:szCs w:val="16"/>
              </w:rPr>
            </w:pPr>
            <w:r>
              <w:rPr>
                <w:rFonts w:ascii="Times New Roman" w:hAnsi="Times New Roman" w:cs="Times New Roman"/>
                <w:b/>
                <w:bCs/>
                <w:sz w:val="16"/>
                <w:szCs w:val="16"/>
              </w:rPr>
              <w:t>Dropout</w:t>
            </w:r>
          </w:p>
        </w:tc>
        <w:tc>
          <w:tcPr>
            <w:tcW w:w="2410" w:type="dxa"/>
            <w:tcBorders>
              <w:top w:val="nil"/>
              <w:left w:val="single" w:sz="4" w:space="0" w:color="auto"/>
              <w:bottom w:val="nil"/>
              <w:right w:val="single" w:sz="4" w:space="0" w:color="auto"/>
            </w:tcBorders>
          </w:tcPr>
          <w:p w14:paraId="2662A49F" w14:textId="3C747D6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2835" w:type="dxa"/>
            <w:tcBorders>
              <w:top w:val="nil"/>
              <w:left w:val="single" w:sz="4" w:space="0" w:color="auto"/>
              <w:bottom w:val="nil"/>
              <w:right w:val="single" w:sz="4" w:space="0" w:color="auto"/>
            </w:tcBorders>
          </w:tcPr>
          <w:p w14:paraId="3152322B" w14:textId="2DC79B2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3276" w:type="dxa"/>
            <w:tcBorders>
              <w:left w:val="single" w:sz="4" w:space="0" w:color="auto"/>
            </w:tcBorders>
          </w:tcPr>
          <w:p w14:paraId="395B5D42" w14:textId="42E0CC20" w:rsidR="00E0753E" w:rsidRPr="00E0753E" w:rsidRDefault="00A825D3" w:rsidP="00E0753E">
            <w:pPr>
              <w:pStyle w:val="a0"/>
              <w:rPr>
                <w:rFonts w:ascii="Times New Roman" w:hAnsi="Times New Roman" w:cs="Times New Roman"/>
                <w:sz w:val="16"/>
                <w:szCs w:val="16"/>
              </w:rPr>
            </w:pPr>
            <w:r>
              <w:rPr>
                <w:rFonts w:ascii="Times New Roman" w:hAnsi="Times New Roman" w:cs="Times New Roman"/>
                <w:sz w:val="16"/>
                <w:szCs w:val="16"/>
              </w:rPr>
              <w:t>No</w:t>
            </w:r>
          </w:p>
        </w:tc>
      </w:tr>
      <w:tr w:rsidR="00E0753E" w14:paraId="68C39BE0" w14:textId="77777777" w:rsidTr="006D51D7">
        <w:tc>
          <w:tcPr>
            <w:tcW w:w="1384" w:type="dxa"/>
            <w:tcBorders>
              <w:right w:val="single" w:sz="4" w:space="0" w:color="auto"/>
            </w:tcBorders>
          </w:tcPr>
          <w:p w14:paraId="0529E2C6" w14:textId="623777FE" w:rsidR="00E0753E" w:rsidRPr="00E0753E" w:rsidRDefault="007C564C" w:rsidP="00E0753E">
            <w:pPr>
              <w:pStyle w:val="a0"/>
              <w:rPr>
                <w:rFonts w:ascii="Times New Roman" w:hAnsi="Times New Roman" w:cs="Times New Roman"/>
                <w:b/>
                <w:bCs/>
                <w:sz w:val="16"/>
                <w:szCs w:val="16"/>
              </w:rPr>
            </w:pPr>
            <w:r>
              <w:rPr>
                <w:rFonts w:ascii="Times New Roman" w:hAnsi="Times New Roman" w:cs="Times New Roman"/>
                <w:b/>
                <w:bCs/>
                <w:sz w:val="16"/>
                <w:szCs w:val="16"/>
              </w:rPr>
              <w:t xml:space="preserve">Best </w:t>
            </w:r>
            <w:r w:rsidR="00E0753E" w:rsidRPr="00E0753E">
              <w:rPr>
                <w:rFonts w:ascii="Times New Roman" w:hAnsi="Times New Roman" w:cs="Times New Roman"/>
                <w:b/>
                <w:bCs/>
                <w:sz w:val="16"/>
                <w:szCs w:val="16"/>
              </w:rPr>
              <w:t>Performance</w:t>
            </w:r>
            <w:r w:rsidR="00007DB0">
              <w:rPr>
                <w:rFonts w:ascii="Times New Roman" w:hAnsi="Times New Roman" w:cs="Times New Roman"/>
                <w:b/>
                <w:bCs/>
                <w:sz w:val="16"/>
                <w:szCs w:val="16"/>
              </w:rPr>
              <w:t>*</w:t>
            </w:r>
          </w:p>
        </w:tc>
        <w:tc>
          <w:tcPr>
            <w:tcW w:w="2410" w:type="dxa"/>
            <w:tcBorders>
              <w:top w:val="nil"/>
              <w:left w:val="single" w:sz="4" w:space="0" w:color="auto"/>
              <w:bottom w:val="nil"/>
              <w:right w:val="single" w:sz="4" w:space="0" w:color="auto"/>
            </w:tcBorders>
          </w:tcPr>
          <w:p w14:paraId="252F2F52" w14:textId="3ABE5F6E"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9</w:t>
            </w:r>
            <w:r w:rsidRPr="00E0753E">
              <w:rPr>
                <w:rFonts w:ascii="Times New Roman" w:hAnsi="Times New Roman" w:cs="Times New Roman"/>
                <w:sz w:val="16"/>
                <w:szCs w:val="16"/>
              </w:rPr>
              <w:t>3</w:t>
            </w:r>
          </w:p>
          <w:p w14:paraId="0F5723FA" w14:textId="067A601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0.2</w:t>
            </w:r>
            <w:r w:rsidR="00007DB0">
              <w:rPr>
                <w:rFonts w:ascii="Times New Roman" w:hAnsi="Times New Roman" w:cs="Times New Roman"/>
                <w:sz w:val="16"/>
                <w:szCs w:val="16"/>
              </w:rPr>
              <w:t>37</w:t>
            </w:r>
          </w:p>
          <w:p w14:paraId="32ED7EA7" w14:textId="2C34C33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007DB0">
              <w:rPr>
                <w:rFonts w:ascii="Times New Roman" w:hAnsi="Times New Roman" w:cs="Times New Roman"/>
                <w:sz w:val="16"/>
                <w:szCs w:val="16"/>
              </w:rPr>
              <w:t>71</w:t>
            </w:r>
          </w:p>
        </w:tc>
        <w:tc>
          <w:tcPr>
            <w:tcW w:w="2835" w:type="dxa"/>
            <w:tcBorders>
              <w:top w:val="nil"/>
              <w:left w:val="single" w:sz="4" w:space="0" w:color="auto"/>
              <w:bottom w:val="nil"/>
              <w:right w:val="single" w:sz="4" w:space="0" w:color="auto"/>
            </w:tcBorders>
          </w:tcPr>
          <w:p w14:paraId="7DD7866E" w14:textId="1B0D196D"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40</w:t>
            </w:r>
          </w:p>
          <w:p w14:paraId="1836E396" w14:textId="2FCA5A2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0.3</w:t>
            </w:r>
            <w:r w:rsidR="00007DB0">
              <w:rPr>
                <w:rFonts w:ascii="Times New Roman" w:hAnsi="Times New Roman" w:cs="Times New Roman"/>
                <w:sz w:val="16"/>
                <w:szCs w:val="16"/>
              </w:rPr>
              <w:t>03</w:t>
            </w:r>
          </w:p>
          <w:p w14:paraId="7110990D" w14:textId="3DFFA0D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0.94</w:t>
            </w:r>
            <w:r w:rsidR="00007DB0">
              <w:rPr>
                <w:rFonts w:ascii="Times New Roman" w:hAnsi="Times New Roman" w:cs="Times New Roman"/>
                <w:sz w:val="16"/>
                <w:szCs w:val="16"/>
              </w:rPr>
              <w:t>6</w:t>
            </w:r>
          </w:p>
        </w:tc>
        <w:tc>
          <w:tcPr>
            <w:tcW w:w="3276" w:type="dxa"/>
            <w:tcBorders>
              <w:left w:val="single" w:sz="4" w:space="0" w:color="auto"/>
            </w:tcBorders>
          </w:tcPr>
          <w:p w14:paraId="346E5081" w14:textId="6B42D9C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13</w:t>
            </w:r>
          </w:p>
          <w:p w14:paraId="40CE1A9D" w14:textId="1DE4B9D0"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w:t>
            </w:r>
            <w:r w:rsidR="00007DB0">
              <w:rPr>
                <w:rFonts w:ascii="Times New Roman" w:hAnsi="Times New Roman" w:cs="Times New Roman"/>
                <w:sz w:val="16"/>
                <w:szCs w:val="16"/>
              </w:rPr>
              <w:t>283</w:t>
            </w:r>
          </w:p>
          <w:p w14:paraId="5C209366" w14:textId="59C10F9D"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0.92</w:t>
            </w:r>
            <w:r w:rsidR="00007DB0">
              <w:rPr>
                <w:rFonts w:ascii="Times New Roman" w:hAnsi="Times New Roman" w:cs="Times New Roman"/>
                <w:sz w:val="16"/>
                <w:szCs w:val="16"/>
              </w:rPr>
              <w:t>7</w:t>
            </w:r>
          </w:p>
        </w:tc>
      </w:tr>
      <w:tr w:rsidR="00E0753E" w14:paraId="4D9D6F78" w14:textId="77777777" w:rsidTr="006D51D7">
        <w:tc>
          <w:tcPr>
            <w:tcW w:w="1384" w:type="dxa"/>
            <w:tcBorders>
              <w:right w:val="single" w:sz="4" w:space="0" w:color="auto"/>
            </w:tcBorders>
          </w:tcPr>
          <w:p w14:paraId="73240354" w14:textId="21124C4B"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Num parameters</w:t>
            </w:r>
          </w:p>
        </w:tc>
        <w:tc>
          <w:tcPr>
            <w:tcW w:w="2410" w:type="dxa"/>
            <w:tcBorders>
              <w:top w:val="nil"/>
              <w:left w:val="single" w:sz="4" w:space="0" w:color="auto"/>
              <w:bottom w:val="single" w:sz="4" w:space="0" w:color="auto"/>
              <w:right w:val="single" w:sz="4" w:space="0" w:color="auto"/>
            </w:tcBorders>
          </w:tcPr>
          <w:p w14:paraId="47A0A3D4" w14:textId="167E646F"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5951</w:t>
            </w:r>
          </w:p>
        </w:tc>
        <w:tc>
          <w:tcPr>
            <w:tcW w:w="2835" w:type="dxa"/>
            <w:tcBorders>
              <w:top w:val="nil"/>
              <w:left w:val="single" w:sz="4" w:space="0" w:color="auto"/>
              <w:bottom w:val="single" w:sz="4" w:space="0" w:color="auto"/>
              <w:right w:val="single" w:sz="4" w:space="0" w:color="auto"/>
            </w:tcBorders>
          </w:tcPr>
          <w:p w14:paraId="78B9CEA9" w14:textId="5E15F149"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7691</w:t>
            </w:r>
          </w:p>
        </w:tc>
        <w:tc>
          <w:tcPr>
            <w:tcW w:w="3276" w:type="dxa"/>
            <w:tcBorders>
              <w:left w:val="single" w:sz="4" w:space="0" w:color="auto"/>
            </w:tcBorders>
          </w:tcPr>
          <w:p w14:paraId="0B3A10A6" w14:textId="21BFEE9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27105</w:t>
            </w:r>
          </w:p>
        </w:tc>
      </w:tr>
    </w:tbl>
    <w:p w14:paraId="4486548F" w14:textId="590015E6" w:rsidR="00E0753E" w:rsidRPr="00007DB0" w:rsidRDefault="00007DB0" w:rsidP="00007DB0">
      <w:pPr>
        <w:pStyle w:val="FirstParagraph"/>
        <w:spacing w:before="120" w:after="120"/>
        <w:jc w:val="both"/>
        <w:rPr>
          <w:rFonts w:ascii="Times New Roman" w:hAnsi="Times New Roman" w:cs="Times New Roman"/>
          <w:sz w:val="16"/>
          <w:szCs w:val="16"/>
        </w:rPr>
      </w:pPr>
      <w:r w:rsidRPr="00007DB0">
        <w:rPr>
          <w:rFonts w:ascii="Times New Roman" w:hAnsi="Times New Roman" w:cs="Times New Roman"/>
          <w:sz w:val="16"/>
          <w:szCs w:val="16"/>
        </w:rPr>
        <w:t>* -</w:t>
      </w:r>
      <w:r>
        <w:rPr>
          <w:rFonts w:ascii="Times New Roman" w:hAnsi="Times New Roman" w:cs="Times New Roman"/>
          <w:sz w:val="16"/>
          <w:szCs w:val="16"/>
        </w:rPr>
        <w:t xml:space="preserve"> this is </w:t>
      </w:r>
      <w:r w:rsidR="0065203A">
        <w:rPr>
          <w:rFonts w:ascii="Times New Roman" w:hAnsi="Times New Roman" w:cs="Times New Roman"/>
          <w:sz w:val="16"/>
          <w:szCs w:val="16"/>
        </w:rPr>
        <w:t>the best performing epoch for each of the models on non-embedded validation data</w:t>
      </w:r>
      <w:r w:rsidR="004C08E6">
        <w:rPr>
          <w:rFonts w:ascii="Times New Roman" w:hAnsi="Times New Roman" w:cs="Times New Roman"/>
          <w:sz w:val="16"/>
          <w:szCs w:val="16"/>
        </w:rPr>
        <w:t xml:space="preserve"> averaged by folds</w:t>
      </w:r>
      <w:r w:rsidR="0065203A">
        <w:rPr>
          <w:rFonts w:ascii="Times New Roman" w:hAnsi="Times New Roman" w:cs="Times New Roman"/>
          <w:sz w:val="16"/>
          <w:szCs w:val="16"/>
        </w:rPr>
        <w:t xml:space="preserve">. </w:t>
      </w:r>
    </w:p>
    <w:p w14:paraId="191D9AA6" w14:textId="372C9614"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LSNN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LSNNs can effectively model cognitive states from EEG signals.</w:t>
      </w:r>
    </w:p>
    <w:p w14:paraId="13822AB1" w14:textId="16D555D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LSNN,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77777777"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metrics—accuracy, loss, and AUC—were monitored across training epochs for each embedding type and model architecture. These evaluations were conducted across GRU, LSTM, and LSNN-based models, allowing for a comprehensive comparison of embedding effectiveness. In the case of the best-performing LSNN architecture, not all embeddings were included in the final evaluation phase. This decision was based on earlier results, where certain embeddings consistently underperformed relative to others, and were therefore omitted to streamline experimentation.</w:t>
      </w:r>
    </w:p>
    <w:p w14:paraId="1EB8D201" w14:textId="4069AD9F" w:rsidR="00A93B73" w:rsidRDefault="00A93B73" w:rsidP="00512E57">
      <w:pPr>
        <w:pStyle w:val="a0"/>
      </w:pPr>
      <w:r>
        <w:rPr>
          <w:noProof/>
        </w:rPr>
        <w:drawing>
          <wp:inline distT="0" distB="0" distL="0" distR="0" wp14:anchorId="4FA26134" wp14:editId="5AFC5ABF">
            <wp:extent cx="6152515" cy="1517015"/>
            <wp:effectExtent l="0" t="0" r="0" b="0"/>
            <wp:docPr id="196544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2515" cy="1517015"/>
                    </a:xfrm>
                    <a:prstGeom prst="rect">
                      <a:avLst/>
                    </a:prstGeom>
                    <a:noFill/>
                    <a:ln>
                      <a:noFill/>
                    </a:ln>
                  </pic:spPr>
                </pic:pic>
              </a:graphicData>
            </a:graphic>
          </wp:inline>
        </w:drawing>
      </w:r>
    </w:p>
    <w:p w14:paraId="4E7EEF0C" w14:textId="76A58D20" w:rsidR="00A93B73" w:rsidRPr="00A83E04" w:rsidRDefault="00A93B73" w:rsidP="00A93B73">
      <w:pPr>
        <w:pStyle w:val="a0"/>
        <w:spacing w:before="120" w:after="120"/>
        <w:jc w:val="center"/>
        <w:rPr>
          <w:rFonts w:ascii="Times New Roman" w:hAnsi="Times New Roman" w:cs="Times New Roman"/>
        </w:rPr>
      </w:pPr>
      <w:r w:rsidRPr="00A83E04">
        <w:rPr>
          <w:rFonts w:ascii="Times New Roman" w:hAnsi="Times New Roman" w:cs="Times New Roman"/>
        </w:rPr>
        <w:t>Figure 1. Best GRU performance</w:t>
      </w:r>
    </w:p>
    <w:p w14:paraId="0B77AC8D" w14:textId="77777777" w:rsidR="00A93B73" w:rsidRPr="00A83E04" w:rsidRDefault="00A93B73" w:rsidP="00A93B73">
      <w:pPr>
        <w:pStyle w:val="a0"/>
        <w:spacing w:before="120" w:after="120"/>
        <w:rPr>
          <w:rFonts w:ascii="Times New Roman" w:hAnsi="Times New Roman" w:cs="Times New Roman"/>
        </w:rPr>
      </w:pPr>
      <w:r w:rsidRPr="00A83E04">
        <w:rPr>
          <w:rFonts w:ascii="Times New Roman" w:hAnsi="Times New Roman" w:cs="Times New Roman"/>
          <w:noProof/>
        </w:rPr>
        <w:drawing>
          <wp:inline distT="0" distB="0" distL="0" distR="0" wp14:anchorId="0D978B47" wp14:editId="2CB94798">
            <wp:extent cx="6152515" cy="1517015"/>
            <wp:effectExtent l="0" t="0" r="0" b="0"/>
            <wp:docPr id="6180638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15" cy="1517015"/>
                    </a:xfrm>
                    <a:prstGeom prst="rect">
                      <a:avLst/>
                    </a:prstGeom>
                    <a:noFill/>
                    <a:ln>
                      <a:noFill/>
                    </a:ln>
                  </pic:spPr>
                </pic:pic>
              </a:graphicData>
            </a:graphic>
          </wp:inline>
        </w:drawing>
      </w:r>
    </w:p>
    <w:p w14:paraId="63389A3D" w14:textId="0905A95E" w:rsidR="00A93B73" w:rsidRPr="00A83E04" w:rsidRDefault="00A93B73" w:rsidP="00A93B73">
      <w:pPr>
        <w:pStyle w:val="a0"/>
        <w:spacing w:before="120" w:after="120"/>
        <w:jc w:val="center"/>
        <w:rPr>
          <w:rFonts w:ascii="Times New Roman" w:hAnsi="Times New Roman" w:cs="Times New Roman"/>
        </w:rPr>
      </w:pPr>
      <w:r w:rsidRPr="00A83E04">
        <w:rPr>
          <w:rFonts w:ascii="Times New Roman" w:hAnsi="Times New Roman" w:cs="Times New Roman"/>
        </w:rPr>
        <w:t>Figure 2. Best LSTM performance</w:t>
      </w:r>
    </w:p>
    <w:p w14:paraId="7EDB60A3" w14:textId="43104BCC" w:rsidR="00A93B73" w:rsidRPr="00A83E04" w:rsidRDefault="00A93B73" w:rsidP="00A93B73">
      <w:pPr>
        <w:pStyle w:val="a0"/>
        <w:spacing w:before="120" w:after="120"/>
        <w:jc w:val="center"/>
        <w:rPr>
          <w:rFonts w:ascii="Times New Roman" w:hAnsi="Times New Roman" w:cs="Times New Roman"/>
        </w:rPr>
      </w:pPr>
      <w:r w:rsidRPr="00A83E04">
        <w:rPr>
          <w:rFonts w:ascii="Times New Roman" w:hAnsi="Times New Roman" w:cs="Times New Roman"/>
          <w:noProof/>
        </w:rPr>
        <w:lastRenderedPageBreak/>
        <w:drawing>
          <wp:inline distT="0" distB="0" distL="0" distR="0" wp14:anchorId="7EEF03B5" wp14:editId="0C68D4D3">
            <wp:extent cx="6152515" cy="1517015"/>
            <wp:effectExtent l="0" t="0" r="0" b="0"/>
            <wp:docPr id="17766842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2515" cy="1517015"/>
                    </a:xfrm>
                    <a:prstGeom prst="rect">
                      <a:avLst/>
                    </a:prstGeom>
                    <a:noFill/>
                    <a:ln>
                      <a:noFill/>
                    </a:ln>
                  </pic:spPr>
                </pic:pic>
              </a:graphicData>
            </a:graphic>
          </wp:inline>
        </w:drawing>
      </w:r>
    </w:p>
    <w:p w14:paraId="50A46A67" w14:textId="08C6F9FE"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 3. Best LNNS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0EAA4E81"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metrics—accuracy, AUC, and loss—for the best-performing configuration of each model type: GRU, LSTM, and LSNN. These models were selected based on their performance across all previous experiments, including variations with and without temporal embeddings.</w:t>
      </w:r>
    </w:p>
    <w:p w14:paraId="4AADC7A8" w14:textId="36926888"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significantly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p>
    <w:p w14:paraId="0213E2A6" w14:textId="29C0EFB1"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While LSNN models (based on sparsely connected neural circuit policies) demonstrated competitive behavior, their overall performance was consistently lower than that of GRU and LSTM counterparts. Nevertheless, their results still validate the potential of biologically inspired recurrent architectures in EEG-based classification tasks.</w:t>
      </w:r>
    </w:p>
    <w:p w14:paraId="647DF182" w14:textId="77777777" w:rsid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p>
    <w:p w14:paraId="6E751551" w14:textId="5173D9F8" w:rsidR="002869E5" w:rsidRDefault="000F079E" w:rsidP="000F079E">
      <w:pPr>
        <w:pStyle w:val="a0"/>
        <w:jc w:val="both"/>
        <w:rPr>
          <w:rFonts w:ascii="Times New Roman" w:hAnsi="Times New Roman" w:cs="Times New Roman"/>
        </w:rPr>
      </w:pPr>
      <w:r>
        <w:rPr>
          <w:rFonts w:ascii="Times New Roman" w:hAnsi="Times New Roman" w:cs="Times New Roman"/>
          <w:noProof/>
        </w:rPr>
        <w:lastRenderedPageBreak/>
        <w:drawing>
          <wp:inline distT="0" distB="0" distL="0" distR="0" wp14:anchorId="634D5786" wp14:editId="409C7468">
            <wp:extent cx="6153150" cy="1519555"/>
            <wp:effectExtent l="0" t="0" r="0" b="0"/>
            <wp:docPr id="2038627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3150" cy="1519555"/>
                    </a:xfrm>
                    <a:prstGeom prst="rect">
                      <a:avLst/>
                    </a:prstGeom>
                    <a:noFill/>
                    <a:ln>
                      <a:noFill/>
                    </a:ln>
                  </pic:spPr>
                </pic:pic>
              </a:graphicData>
            </a:graphic>
          </wp:inline>
        </w:drawing>
      </w:r>
    </w:p>
    <w:p w14:paraId="26822550" w14:textId="4185AF22"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4</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3BBB46E8" w14:textId="6FC07079" w:rsidR="007B7B9B" w:rsidRPr="007B7B9B" w:rsidRDefault="007B7B9B" w:rsidP="008A1A8B">
      <w:pPr>
        <w:pStyle w:val="a0"/>
        <w:spacing w:before="120" w:after="120"/>
        <w:ind w:firstLine="72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30599C1" w14:textId="1A9C0D8C" w:rsidR="007B7B9B" w:rsidRDefault="007B7B9B" w:rsidP="008A1A8B">
      <w:pPr>
        <w:pStyle w:val="a0"/>
        <w:spacing w:before="120" w:after="120"/>
        <w:ind w:firstLine="720"/>
        <w:jc w:val="both"/>
        <w:rPr>
          <w:rFonts w:ascii="Times New Roman" w:hAnsi="Times New Roman" w:cs="Times New Roman"/>
        </w:rPr>
      </w:pPr>
      <w:r w:rsidRPr="007B7B9B">
        <w:rPr>
          <w:rFonts w:ascii="Times New Roman" w:hAnsi="Times New Roman" w:cs="Times New Roman"/>
        </w:rPr>
        <w:t>Another consistent finding across experiments is the dominant importance of the theta band in predicting confusion. SHAP values frequently show that the theta signal contributes more significantly—both positively and negatively—to the model's decision-making process compared to other frequency bands. This trend is in agreement with prior research, which has linked increased theta activity in the frontal lobe with elevated cognitive load and attentional engagement, particularly in tasks that involve comprehension or problem-solving. The model's reliance on this band therefore provides additional validation for both the data and the model’s alignment with neuroscientific understanding of EEG signal interpretation.</w:t>
      </w:r>
    </w:p>
    <w:p w14:paraId="4111FBC6" w14:textId="69F4A721"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lastRenderedPageBreak/>
        <w:t>While the GRU and LSTM models yielded interpretable patterns through SHAP analysis, LSNN models unfortunately did not provide useful insights into feature importance. The SHAP value distributions for LSNNs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LSNNs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0257A474"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7B2CE6CD" wp14:editId="620CB332">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2A1E28B7">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6BEACF43">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5667EC8D">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380C9975">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5E4FD789">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3E806281">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11427B49">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5CC87522">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19440E57"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013F0F">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2B6695" w:rsidRDefault="00DC3589" w:rsidP="002646C5">
      <w:pPr>
        <w:pStyle w:val="2"/>
        <w:jc w:val="both"/>
        <w:rPr>
          <w:rFonts w:ascii="Times New Roman" w:hAnsi="Times New Roman" w:cs="Times New Roman"/>
          <w:color w:val="auto"/>
          <w:sz w:val="24"/>
          <w:szCs w:val="24"/>
        </w:rPr>
      </w:pPr>
      <w:bookmarkStart w:id="13" w:name="conclusion"/>
      <w:bookmarkStart w:id="14" w:name="_Toc197088348"/>
      <w:r w:rsidRPr="002B6695">
        <w:rPr>
          <w:rFonts w:ascii="Times New Roman" w:hAnsi="Times New Roman" w:cs="Times New Roman"/>
          <w:color w:val="auto"/>
          <w:sz w:val="24"/>
          <w:szCs w:val="24"/>
        </w:rPr>
        <w:lastRenderedPageBreak/>
        <w:t>Conclusion</w:t>
      </w:r>
      <w:bookmarkEnd w:id="13"/>
      <w:r w:rsidR="00B84681" w:rsidRPr="002B6695">
        <w:rPr>
          <w:rFonts w:ascii="Times New Roman" w:hAnsi="Times New Roman" w:cs="Times New Roman"/>
          <w:color w:val="auto"/>
          <w:sz w:val="24"/>
          <w:szCs w:val="24"/>
        </w:rPr>
        <w:t>s</w:t>
      </w:r>
      <w:bookmarkEnd w:id="14"/>
    </w:p>
    <w:p w14:paraId="266C4812" w14:textId="4919BBAB" w:rsidR="002646C5" w:rsidRPr="005A4C69" w:rsidRDefault="002646C5" w:rsidP="002646C5">
      <w:pPr>
        <w:jc w:val="both"/>
      </w:pPr>
      <w:r w:rsidRPr="005A4C69">
        <w:br w:type="page"/>
      </w:r>
    </w:p>
    <w:p w14:paraId="5AAB5375" w14:textId="20677EED" w:rsidR="003C3835" w:rsidRPr="00285D9F" w:rsidRDefault="00DC3589" w:rsidP="00565E32">
      <w:pPr>
        <w:pStyle w:val="2"/>
        <w:jc w:val="both"/>
        <w:rPr>
          <w:rFonts w:ascii="Times New Roman" w:hAnsi="Times New Roman" w:cs="Times New Roman"/>
          <w:color w:val="auto"/>
          <w:sz w:val="24"/>
          <w:szCs w:val="24"/>
        </w:rPr>
      </w:pPr>
      <w:bookmarkStart w:id="15" w:name="references"/>
      <w:bookmarkStart w:id="16" w:name="_Toc197088349"/>
      <w:r w:rsidRPr="00B467EA">
        <w:rPr>
          <w:rFonts w:ascii="Times New Roman" w:hAnsi="Times New Roman" w:cs="Times New Roman"/>
          <w:color w:val="auto"/>
          <w:sz w:val="24"/>
          <w:szCs w:val="24"/>
        </w:rPr>
        <w:lastRenderedPageBreak/>
        <w:t>References</w:t>
      </w:r>
      <w:bookmarkEnd w:id="15"/>
      <w:bookmarkEnd w:id="16"/>
    </w:p>
    <w:p w14:paraId="758A0BE5" w14:textId="35D2F5EA"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Ayoub</w:t>
      </w:r>
      <w:r w:rsidRPr="002869E5">
        <w:rPr>
          <w:rFonts w:ascii="Times New Roman" w:hAnsi="Times New Roman" w:cs="Times New Roman"/>
          <w:b/>
          <w:bCs/>
        </w:rPr>
        <w:t xml:space="preserve">, </w:t>
      </w:r>
      <w:r w:rsidRPr="00B467EA">
        <w:rPr>
          <w:rFonts w:ascii="Times New Roman" w:hAnsi="Times New Roman" w:cs="Times New Roman"/>
          <w:b/>
          <w:bCs/>
        </w:rPr>
        <w:t>O</w:t>
      </w:r>
      <w:r w:rsidRPr="002869E5">
        <w:rPr>
          <w:rFonts w:ascii="Times New Roman" w:hAnsi="Times New Roman" w:cs="Times New Roman"/>
          <w:b/>
          <w:bCs/>
        </w:rPr>
        <w:t xml:space="preserve">., </w:t>
      </w:r>
      <w:r w:rsidRPr="00B467EA">
        <w:rPr>
          <w:rFonts w:ascii="Times New Roman" w:hAnsi="Times New Roman" w:cs="Times New Roman"/>
          <w:b/>
          <w:bCs/>
        </w:rPr>
        <w:t>Andreoletti</w:t>
      </w:r>
      <w:r w:rsidRPr="002869E5">
        <w:rPr>
          <w:rFonts w:ascii="Times New Roman" w:hAnsi="Times New Roman" w:cs="Times New Roman"/>
          <w:b/>
          <w:bCs/>
        </w:rPr>
        <w:t xml:space="preserve">, </w:t>
      </w:r>
      <w:r w:rsidRPr="00B467EA">
        <w:rPr>
          <w:rFonts w:ascii="Times New Roman" w:hAnsi="Times New Roman" w:cs="Times New Roman"/>
          <w:b/>
          <w:bCs/>
        </w:rPr>
        <w:t>D</w:t>
      </w:r>
      <w:r w:rsidRPr="002869E5">
        <w:rPr>
          <w:rFonts w:ascii="Times New Roman" w:hAnsi="Times New Roman" w:cs="Times New Roman"/>
          <w:b/>
          <w:bCs/>
        </w:rPr>
        <w:t xml:space="preserve">., </w:t>
      </w:r>
      <w:proofErr w:type="spellStart"/>
      <w:r w:rsidRPr="00B467EA">
        <w:rPr>
          <w:rFonts w:ascii="Times New Roman" w:hAnsi="Times New Roman" w:cs="Times New Roman"/>
          <w:b/>
          <w:bCs/>
        </w:rPr>
        <w:t>Knapi</w:t>
      </w:r>
      <w:r w:rsidRPr="002869E5">
        <w:rPr>
          <w:rFonts w:ascii="Times New Roman" w:hAnsi="Times New Roman" w:cs="Times New Roman"/>
          <w:b/>
          <w:bCs/>
        </w:rPr>
        <w:t>ń</w:t>
      </w:r>
      <w:r w:rsidRPr="00B467EA">
        <w:rPr>
          <w:rFonts w:ascii="Times New Roman" w:hAnsi="Times New Roman" w:cs="Times New Roman"/>
          <w:b/>
          <w:bCs/>
        </w:rPr>
        <w:t>ska</w:t>
      </w:r>
      <w:proofErr w:type="spellEnd"/>
      <w:r w:rsidRPr="002869E5">
        <w:rPr>
          <w:rFonts w:ascii="Times New Roman" w:hAnsi="Times New Roman" w:cs="Times New Roman"/>
          <w:b/>
          <w:bCs/>
        </w:rPr>
        <w:t xml:space="preserve">, </w:t>
      </w:r>
      <w:r w:rsidRPr="00B467EA">
        <w:rPr>
          <w:rFonts w:ascii="Times New Roman" w:hAnsi="Times New Roman" w:cs="Times New Roman"/>
          <w:b/>
          <w:bCs/>
        </w:rPr>
        <w:t>A</w:t>
      </w:r>
      <w:r w:rsidRPr="002869E5">
        <w:rPr>
          <w:rFonts w:ascii="Times New Roman" w:hAnsi="Times New Roman" w:cs="Times New Roman"/>
          <w:b/>
          <w:bCs/>
        </w:rPr>
        <w:t xml:space="preserve">., </w:t>
      </w:r>
      <w:proofErr w:type="spellStart"/>
      <w:r w:rsidRPr="00B467EA">
        <w:rPr>
          <w:rFonts w:ascii="Times New Roman" w:hAnsi="Times New Roman" w:cs="Times New Roman"/>
          <w:b/>
          <w:bCs/>
        </w:rPr>
        <w:t>Go</w:t>
      </w:r>
      <w:r w:rsidRPr="002869E5">
        <w:rPr>
          <w:rFonts w:ascii="Times New Roman" w:hAnsi="Times New Roman" w:cs="Times New Roman"/>
          <w:b/>
          <w:bCs/>
        </w:rPr>
        <w:t>ś</w:t>
      </w:r>
      <w:r w:rsidRPr="00B467EA">
        <w:rPr>
          <w:rFonts w:ascii="Times New Roman" w:hAnsi="Times New Roman" w:cs="Times New Roman"/>
          <w:b/>
          <w:bCs/>
        </w:rPr>
        <w:t>cie</w:t>
      </w:r>
      <w:r w:rsidRPr="002869E5">
        <w:rPr>
          <w:rFonts w:ascii="Times New Roman" w:hAnsi="Times New Roman" w:cs="Times New Roman"/>
          <w:b/>
          <w:bCs/>
        </w:rPr>
        <w:t>ń</w:t>
      </w:r>
      <w:proofErr w:type="spellEnd"/>
      <w:r w:rsidRPr="002869E5">
        <w:rPr>
          <w:rFonts w:ascii="Times New Roman" w:hAnsi="Times New Roman" w:cs="Times New Roman"/>
          <w:b/>
          <w:bCs/>
        </w:rPr>
        <w:t xml:space="preserve">, </w:t>
      </w:r>
      <w:r w:rsidRPr="00B467EA">
        <w:rPr>
          <w:rFonts w:ascii="Times New Roman" w:hAnsi="Times New Roman" w:cs="Times New Roman"/>
          <w:b/>
          <w:bCs/>
        </w:rPr>
        <w:t>R</w:t>
      </w:r>
      <w:r w:rsidRPr="002869E5">
        <w:rPr>
          <w:rFonts w:ascii="Times New Roman" w:hAnsi="Times New Roman" w:cs="Times New Roman"/>
          <w:b/>
          <w:bCs/>
        </w:rPr>
        <w:t xml:space="preserve">., </w:t>
      </w:r>
      <w:r w:rsidRPr="00B467EA">
        <w:rPr>
          <w:rFonts w:ascii="Times New Roman" w:hAnsi="Times New Roman" w:cs="Times New Roman"/>
          <w:b/>
          <w:bCs/>
        </w:rPr>
        <w:t>Lechowicz</w:t>
      </w:r>
      <w:r w:rsidRPr="002869E5">
        <w:rPr>
          <w:rFonts w:ascii="Times New Roman" w:hAnsi="Times New Roman" w:cs="Times New Roman"/>
          <w:b/>
          <w:bCs/>
        </w:rPr>
        <w:t xml:space="preserve">, </w:t>
      </w:r>
      <w:r w:rsidRPr="00B467EA">
        <w:rPr>
          <w:rFonts w:ascii="Times New Roman" w:hAnsi="Times New Roman" w:cs="Times New Roman"/>
          <w:b/>
          <w:bCs/>
        </w:rPr>
        <w:t>P</w:t>
      </w:r>
      <w:r w:rsidRPr="002869E5">
        <w:rPr>
          <w:rFonts w:ascii="Times New Roman" w:hAnsi="Times New Roman" w:cs="Times New Roman"/>
          <w:b/>
          <w:bCs/>
        </w:rPr>
        <w:t xml:space="preserve">., </w:t>
      </w:r>
      <w:r w:rsidRPr="00B467EA">
        <w:rPr>
          <w:rFonts w:ascii="Times New Roman" w:hAnsi="Times New Roman" w:cs="Times New Roman"/>
          <w:b/>
          <w:bCs/>
        </w:rPr>
        <w:t>Leidi</w:t>
      </w:r>
      <w:r w:rsidRPr="002869E5">
        <w:rPr>
          <w:rFonts w:ascii="Times New Roman" w:hAnsi="Times New Roman" w:cs="Times New Roman"/>
          <w:b/>
          <w:bCs/>
        </w:rPr>
        <w:t xml:space="preserve">, </w:t>
      </w:r>
      <w:r w:rsidRPr="00B467EA">
        <w:rPr>
          <w:rFonts w:ascii="Times New Roman" w:hAnsi="Times New Roman" w:cs="Times New Roman"/>
          <w:b/>
          <w:bCs/>
        </w:rPr>
        <w:t>T</w:t>
      </w:r>
      <w:r w:rsidRPr="002869E5">
        <w:rPr>
          <w:rFonts w:ascii="Times New Roman" w:hAnsi="Times New Roman" w:cs="Times New Roman"/>
          <w:b/>
          <w:bCs/>
        </w:rPr>
        <w:t xml:space="preserve">., </w:t>
      </w:r>
      <w:r w:rsidRPr="00B467EA">
        <w:rPr>
          <w:rFonts w:ascii="Times New Roman" w:hAnsi="Times New Roman" w:cs="Times New Roman"/>
          <w:b/>
          <w:bCs/>
        </w:rPr>
        <w:t>Giordano</w:t>
      </w:r>
      <w:r w:rsidRPr="002869E5">
        <w:rPr>
          <w:rFonts w:ascii="Times New Roman" w:hAnsi="Times New Roman" w:cs="Times New Roman"/>
          <w:b/>
          <w:bCs/>
        </w:rPr>
        <w:t xml:space="preserve">, </w:t>
      </w:r>
      <w:r w:rsidRPr="00B467EA">
        <w:rPr>
          <w:rFonts w:ascii="Times New Roman" w:hAnsi="Times New Roman" w:cs="Times New Roman"/>
          <w:b/>
          <w:bCs/>
        </w:rPr>
        <w:t>S</w:t>
      </w:r>
      <w:r w:rsidRPr="002869E5">
        <w:rPr>
          <w:rFonts w:ascii="Times New Roman" w:hAnsi="Times New Roman" w:cs="Times New Roman"/>
          <w:b/>
          <w:bCs/>
        </w:rPr>
        <w:t xml:space="preserve">., </w:t>
      </w:r>
      <w:r w:rsidRPr="00B467EA">
        <w:rPr>
          <w:rFonts w:ascii="Times New Roman" w:hAnsi="Times New Roman" w:cs="Times New Roman"/>
          <w:b/>
          <w:bCs/>
        </w:rPr>
        <w:t>Rottondi</w:t>
      </w:r>
      <w:r w:rsidRPr="002869E5">
        <w:rPr>
          <w:rFonts w:ascii="Times New Roman" w:hAnsi="Times New Roman" w:cs="Times New Roman"/>
          <w:b/>
          <w:bCs/>
        </w:rPr>
        <w:t xml:space="preserve">, </w:t>
      </w:r>
      <w:r w:rsidRPr="00B467EA">
        <w:rPr>
          <w:rFonts w:ascii="Times New Roman" w:hAnsi="Times New Roman" w:cs="Times New Roman"/>
          <w:b/>
          <w:bCs/>
        </w:rPr>
        <w:t>C</w:t>
      </w:r>
      <w:r w:rsidRPr="002869E5">
        <w:rPr>
          <w:rFonts w:ascii="Times New Roman" w:hAnsi="Times New Roman" w:cs="Times New Roman"/>
          <w:b/>
          <w:bCs/>
        </w:rPr>
        <w:t xml:space="preserve">., &amp; </w:t>
      </w:r>
      <w:r w:rsidRPr="00B467EA">
        <w:rPr>
          <w:rFonts w:ascii="Times New Roman" w:hAnsi="Times New Roman" w:cs="Times New Roman"/>
          <w:b/>
          <w:bCs/>
        </w:rPr>
        <w:t>Walkowiak</w:t>
      </w:r>
      <w:r w:rsidRPr="002869E5">
        <w:rPr>
          <w:rFonts w:ascii="Times New Roman" w:hAnsi="Times New Roman" w:cs="Times New Roman"/>
          <w:b/>
          <w:bCs/>
        </w:rPr>
        <w:t xml:space="preserve">, </w:t>
      </w:r>
      <w:r w:rsidRPr="00B467EA">
        <w:rPr>
          <w:rFonts w:ascii="Times New Roman" w:hAnsi="Times New Roman" w:cs="Times New Roman"/>
          <w:b/>
          <w:bCs/>
        </w:rPr>
        <w:t>K</w:t>
      </w:r>
      <w:r w:rsidRPr="002869E5">
        <w:rPr>
          <w:rFonts w:ascii="Times New Roman" w:hAnsi="Times New Roman" w:cs="Times New Roman"/>
          <w:b/>
          <w:bCs/>
        </w:rPr>
        <w:t>.</w:t>
      </w:r>
      <w:r w:rsidRPr="002869E5">
        <w:rPr>
          <w:rFonts w:ascii="Times New Roman" w:hAnsi="Times New Roman" w:cs="Times New Roman"/>
        </w:rPr>
        <w:t xml:space="preserve"> (2024). </w:t>
      </w:r>
      <w:r w:rsidRPr="00B467EA">
        <w:rPr>
          <w:rFonts w:ascii="Times New Roman" w:hAnsi="Times New Roman" w:cs="Times New Roman"/>
        </w:rPr>
        <w:t xml:space="preserve">Liquid Neural Network-based Adaptive Learning vs. Incremental Learning   for Link Load Prediction amid Concept Drift due to Network Failures. arXiv (Cornell University). </w:t>
      </w:r>
      <w:hyperlink r:id="rId30" w:history="1">
        <w:r w:rsidRPr="00B467EA">
          <w:rPr>
            <w:rStyle w:val="af"/>
            <w:rFonts w:ascii="Times New Roman" w:hAnsi="Times New Roman" w:cs="Times New Roman"/>
          </w:rPr>
          <w:t>https://doi.org/10.48550/arxiv.2404.05304</w:t>
        </w:r>
      </w:hyperlink>
    </w:p>
    <w:p w14:paraId="11C828CB" w14:textId="1BBED54E"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Bidollahkhani, M., Atasoy, F., &amp; Abdellatef, H.</w:t>
      </w:r>
      <w:r w:rsidRPr="00B467EA">
        <w:rPr>
          <w:rFonts w:ascii="Times New Roman" w:hAnsi="Times New Roman" w:cs="Times New Roman"/>
        </w:rPr>
        <w:t xml:space="preserve"> (2023). LTC-SE: Expanding the potential of Liquid Time-Constant Neural Networks for scalable AI and embedded systems. arXiv (Cornell University). </w:t>
      </w:r>
      <w:hyperlink r:id="rId31" w:history="1">
        <w:r w:rsidRPr="00B467EA">
          <w:rPr>
            <w:rStyle w:val="af"/>
            <w:rFonts w:ascii="Times New Roman" w:hAnsi="Times New Roman" w:cs="Times New Roman"/>
          </w:rPr>
          <w:t>https://doi.org/10.48550/arxiv.2304.08691</w:t>
        </w:r>
      </w:hyperlink>
    </w:p>
    <w:p w14:paraId="222587DF" w14:textId="70D647A4" w:rsidR="0046413A" w:rsidRPr="00B467EA" w:rsidRDefault="0046413A" w:rsidP="002646C5">
      <w:pPr>
        <w:numPr>
          <w:ilvl w:val="0"/>
          <w:numId w:val="2"/>
        </w:numPr>
        <w:jc w:val="both"/>
        <w:rPr>
          <w:rFonts w:ascii="Times New Roman" w:hAnsi="Times New Roman" w:cs="Times New Roman"/>
        </w:rPr>
      </w:pPr>
      <w:r w:rsidRPr="00B467EA">
        <w:rPr>
          <w:rFonts w:ascii="Times New Roman" w:hAnsi="Times New Roman" w:cs="Times New Roman"/>
          <w:b/>
          <w:bCs/>
        </w:rPr>
        <w:t xml:space="preserve">Hasani, R., Lechner, M., Amini, A., Liebenwein, L., Ray, A., </w:t>
      </w:r>
      <w:proofErr w:type="spellStart"/>
      <w:r w:rsidRPr="00B467EA">
        <w:rPr>
          <w:rFonts w:ascii="Times New Roman" w:hAnsi="Times New Roman" w:cs="Times New Roman"/>
          <w:b/>
          <w:bCs/>
        </w:rPr>
        <w:t>Tschaikowski</w:t>
      </w:r>
      <w:proofErr w:type="spellEnd"/>
      <w:r w:rsidRPr="00B467EA">
        <w:rPr>
          <w:rFonts w:ascii="Times New Roman" w:hAnsi="Times New Roman" w:cs="Times New Roman"/>
          <w:b/>
          <w:bCs/>
        </w:rPr>
        <w:t xml:space="preserve">, M., </w:t>
      </w:r>
      <w:proofErr w:type="spellStart"/>
      <w:r w:rsidRPr="00B467EA">
        <w:rPr>
          <w:rFonts w:ascii="Times New Roman" w:hAnsi="Times New Roman" w:cs="Times New Roman"/>
          <w:b/>
          <w:bCs/>
        </w:rPr>
        <w:t>Teschl</w:t>
      </w:r>
      <w:proofErr w:type="spellEnd"/>
      <w:r w:rsidRPr="00B467EA">
        <w:rPr>
          <w:rFonts w:ascii="Times New Roman" w:hAnsi="Times New Roman" w:cs="Times New Roman"/>
          <w:b/>
          <w:bCs/>
        </w:rPr>
        <w:t>, G., &amp; Rus, D.</w:t>
      </w:r>
      <w:r w:rsidRPr="00B467EA">
        <w:rPr>
          <w:rFonts w:ascii="Times New Roman" w:hAnsi="Times New Roman" w:cs="Times New Roman"/>
        </w:rPr>
        <w:t xml:space="preserve"> (2022). Closed-form continuous-time neural networks. Nature Machine Intelligence, 4(11), 992–1003. https://doi.org/10.1038/s42256-022-00556-7</w:t>
      </w:r>
    </w:p>
    <w:p w14:paraId="45DD5707" w14:textId="4127FF81"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rPr>
        <w:t>Hasani, R., Lechner, M., Amini, A., Rus, D., &amp; Grosu, R.</w:t>
      </w:r>
      <w:r w:rsidRPr="00B467EA">
        <w:rPr>
          <w:rFonts w:ascii="Times New Roman" w:hAnsi="Times New Roman" w:cs="Times New Roman"/>
        </w:rPr>
        <w:t xml:space="preserve"> (2021). Liquid Time-constant Networks. Proceedings of the AAAI Conference on Artificial Intelligence, 35(9), 7657-7666. </w:t>
      </w:r>
      <w:hyperlink r:id="rId32" w:history="1">
        <w:r w:rsidRPr="00B467EA">
          <w:rPr>
            <w:rStyle w:val="af"/>
            <w:rFonts w:ascii="Times New Roman" w:hAnsi="Times New Roman" w:cs="Times New Roman"/>
          </w:rPr>
          <w:t>https://doi.org/10.1609/aaai.v35i9.16936</w:t>
        </w:r>
      </w:hyperlink>
      <w:r w:rsidRPr="00B467EA">
        <w:rPr>
          <w:rFonts w:ascii="Times New Roman" w:hAnsi="Times New Roman" w:cs="Times New Roman"/>
          <w:lang w:val="ru-RU"/>
        </w:rPr>
        <w:t xml:space="preserve"> </w:t>
      </w:r>
    </w:p>
    <w:p w14:paraId="71646AE9" w14:textId="0FFE688E"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Huang, Z., Contreras, L. F. H., Leung, W. H., Yu, L., Truong, N. D., Nikpour, A., &amp; Kavehei, O.</w:t>
      </w:r>
      <w:r w:rsidRPr="00B467EA">
        <w:rPr>
          <w:rFonts w:ascii="Times New Roman" w:hAnsi="Times New Roman" w:cs="Times New Roman"/>
        </w:rPr>
        <w:t xml:space="preserve"> (2024). Efficient Edge-AI models for robust ECG abnormality detection on Resource-Constrained hardware. PubMed. </w:t>
      </w:r>
      <w:hyperlink r:id="rId33" w:history="1">
        <w:r w:rsidRPr="00B467EA">
          <w:rPr>
            <w:rStyle w:val="af"/>
            <w:rFonts w:ascii="Times New Roman" w:hAnsi="Times New Roman" w:cs="Times New Roman"/>
          </w:rPr>
          <w:t>https://doi.org/10.1007/s12265-024-10504-y</w:t>
        </w:r>
      </w:hyperlink>
    </w:p>
    <w:p w14:paraId="3A70DA23" w14:textId="59F3B8B9"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Lechner, M., Hasani, R., Amini, A., Henzinger, T. A., Rus, D., &amp; Grosu, R.</w:t>
      </w:r>
      <w:r w:rsidRPr="00B467EA">
        <w:rPr>
          <w:rFonts w:ascii="Times New Roman" w:hAnsi="Times New Roman" w:cs="Times New Roman"/>
        </w:rPr>
        <w:t xml:space="preserve"> (2020). Neural circuit policies enabling auditable autonomy. Nature Machine Intelligence, 2(10), 642–652. </w:t>
      </w:r>
      <w:hyperlink r:id="rId34" w:history="1">
        <w:r w:rsidRPr="00B467EA">
          <w:rPr>
            <w:rStyle w:val="af"/>
            <w:rFonts w:ascii="Times New Roman" w:hAnsi="Times New Roman" w:cs="Times New Roman"/>
          </w:rPr>
          <w:t>https://doi.org/10.1038/s42256-020-00237-3</w:t>
        </w:r>
      </w:hyperlink>
    </w:p>
    <w:p w14:paraId="6523D74E" w14:textId="1C5385CC"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Lechner, M., Hasani, R. M., &amp; Grosu, R.</w:t>
      </w:r>
      <w:r w:rsidRPr="00B467EA">
        <w:rPr>
          <w:rFonts w:ascii="Times New Roman" w:hAnsi="Times New Roman" w:cs="Times New Roman"/>
        </w:rPr>
        <w:t xml:space="preserve"> (2018). Neuronal circuit policies. arXiv (Cornell University). </w:t>
      </w:r>
      <w:hyperlink r:id="rId35" w:history="1">
        <w:r w:rsidRPr="00B467EA">
          <w:rPr>
            <w:rStyle w:val="af"/>
            <w:rFonts w:ascii="Times New Roman" w:hAnsi="Times New Roman" w:cs="Times New Roman"/>
          </w:rPr>
          <w:t>https://doi.org/10.48550/arxiv.1803.08554</w:t>
        </w:r>
      </w:hyperlink>
    </w:p>
    <w:p w14:paraId="6A0703D8" w14:textId="3CA333E8"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Nerrise, F., Sosanya, A. S., &amp; Neary, P.</w:t>
      </w:r>
      <w:r w:rsidRPr="00B467EA">
        <w:rPr>
          <w:rFonts w:ascii="Times New Roman" w:hAnsi="Times New Roman" w:cs="Times New Roman"/>
        </w:rPr>
        <w:t xml:space="preserve"> (2024). Physics-Informed Calibration of Aeromagnetic Compensation in Magnetic Navigation Systems using Liquid Time-Constant Networks. arXiv (Cornell University). </w:t>
      </w:r>
      <w:hyperlink r:id="rId36" w:history="1">
        <w:r w:rsidRPr="00B467EA">
          <w:rPr>
            <w:rStyle w:val="af"/>
            <w:rFonts w:ascii="Times New Roman" w:hAnsi="Times New Roman" w:cs="Times New Roman"/>
          </w:rPr>
          <w:t>https://doi.org/10.48550/arxiv.2401.09631</w:t>
        </w:r>
      </w:hyperlink>
    </w:p>
    <w:p w14:paraId="37675A0B" w14:textId="272190CE"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bCs/>
        </w:rPr>
        <w:t>Nye, L.</w:t>
      </w:r>
      <w:r w:rsidRPr="00B467EA">
        <w:rPr>
          <w:rFonts w:ascii="Times New Roman" w:hAnsi="Times New Roman" w:cs="Times New Roman"/>
        </w:rPr>
        <w:t xml:space="preserve"> (2023). Digital twins for patient care via knowledge graphs and Closed-Form Continuous-Time liquid neural networks. arXiv (Cornell University). </w:t>
      </w:r>
      <w:hyperlink r:id="rId37" w:history="1">
        <w:r w:rsidRPr="00B467EA">
          <w:rPr>
            <w:rStyle w:val="af"/>
            <w:rFonts w:ascii="Times New Roman" w:hAnsi="Times New Roman" w:cs="Times New Roman"/>
          </w:rPr>
          <w:t>https://doi.org/10.48550/arxiv.2307.04772</w:t>
        </w:r>
      </w:hyperlink>
    </w:p>
    <w:p w14:paraId="63625BCD" w14:textId="01107B28" w:rsidR="00565E32" w:rsidRPr="00B467EA" w:rsidRDefault="00565E32" w:rsidP="00565E32">
      <w:pPr>
        <w:numPr>
          <w:ilvl w:val="0"/>
          <w:numId w:val="2"/>
        </w:numPr>
        <w:jc w:val="both"/>
        <w:rPr>
          <w:rFonts w:ascii="Times New Roman" w:hAnsi="Times New Roman" w:cs="Times New Roman"/>
        </w:rPr>
      </w:pPr>
      <w:bookmarkStart w:id="17" w:name="_Hlk169623493"/>
      <w:r w:rsidRPr="00B467EA">
        <w:rPr>
          <w:rFonts w:ascii="Times New Roman" w:hAnsi="Times New Roman" w:cs="Times New Roman"/>
          <w:b/>
        </w:rPr>
        <w:t>Yang</w:t>
      </w:r>
      <w:bookmarkEnd w:id="17"/>
      <w:r w:rsidRPr="00B467EA">
        <w:rPr>
          <w:rFonts w:ascii="Times New Roman" w:hAnsi="Times New Roman" w:cs="Times New Roman"/>
          <w:b/>
        </w:rPr>
        <w:t>, J., Shi, R., &amp; Ni, B.</w:t>
      </w:r>
      <w:r w:rsidRPr="00B467EA">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 </w:t>
      </w:r>
      <w:proofErr w:type="spellStart"/>
      <w:r w:rsidRPr="00B467EA">
        <w:rPr>
          <w:rFonts w:ascii="Times New Roman" w:hAnsi="Times New Roman" w:cs="Times New Roman"/>
        </w:rPr>
        <w:t>doi</w:t>
      </w:r>
      <w:proofErr w:type="spellEnd"/>
      <w:r w:rsidRPr="00B467EA">
        <w:rPr>
          <w:rFonts w:ascii="Times New Roman" w:hAnsi="Times New Roman" w:cs="Times New Roman"/>
        </w:rPr>
        <w:t xml:space="preserve">: </w:t>
      </w:r>
      <w:hyperlink r:id="rId38" w:history="1">
        <w:r w:rsidRPr="00B467EA">
          <w:rPr>
            <w:rStyle w:val="af"/>
            <w:rFonts w:ascii="Times New Roman" w:hAnsi="Times New Roman" w:cs="Times New Roman"/>
          </w:rPr>
          <w:t>https://doi.org/10.1109/ISBI48211.2021.9434062</w:t>
        </w:r>
      </w:hyperlink>
      <w:r w:rsidRPr="00B467EA">
        <w:rPr>
          <w:rFonts w:ascii="Times New Roman" w:hAnsi="Times New Roman" w:cs="Times New Roman"/>
          <w:lang w:val="ru-RU"/>
        </w:rPr>
        <w:t xml:space="preserve"> </w:t>
      </w:r>
    </w:p>
    <w:p w14:paraId="1BA3B7B2" w14:textId="1BF4FBAB"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rPr>
        <w:t>Zheng, Z., &amp; Jia, X.</w:t>
      </w:r>
      <w:r w:rsidRPr="00B467EA">
        <w:rPr>
          <w:rFonts w:ascii="Times New Roman" w:hAnsi="Times New Roman" w:cs="Times New Roman"/>
        </w:rPr>
        <w:t xml:space="preserve"> (2023). Complex Mixer for MEDMNIST Classification Decathlon. arXiv (Cornell University). </w:t>
      </w:r>
      <w:hyperlink r:id="rId39" w:history="1">
        <w:r w:rsidRPr="00B467EA">
          <w:rPr>
            <w:rStyle w:val="af"/>
            <w:rFonts w:ascii="Times New Roman" w:hAnsi="Times New Roman" w:cs="Times New Roman"/>
          </w:rPr>
          <w:t>https://doi.org/10.48550/arxiv.2304.10054</w:t>
        </w:r>
      </w:hyperlink>
    </w:p>
    <w:p w14:paraId="7323C56B" w14:textId="2FAFF17E" w:rsidR="00565E32" w:rsidRPr="00B467EA" w:rsidRDefault="00565E32" w:rsidP="00565E32">
      <w:pPr>
        <w:numPr>
          <w:ilvl w:val="0"/>
          <w:numId w:val="2"/>
        </w:numPr>
        <w:jc w:val="both"/>
        <w:rPr>
          <w:rFonts w:ascii="Times New Roman" w:hAnsi="Times New Roman" w:cs="Times New Roman"/>
        </w:rPr>
      </w:pPr>
      <w:bookmarkStart w:id="18" w:name="_Hlk169575541"/>
      <w:r w:rsidRPr="00B467EA">
        <w:rPr>
          <w:rFonts w:ascii="Times New Roman" w:hAnsi="Times New Roman" w:cs="Times New Roman"/>
          <w:b/>
          <w:bCs/>
        </w:rPr>
        <w:t>Zhu</w:t>
      </w:r>
      <w:bookmarkEnd w:id="18"/>
      <w:r w:rsidRPr="00B467EA">
        <w:rPr>
          <w:rFonts w:ascii="Times New Roman" w:hAnsi="Times New Roman" w:cs="Times New Roman"/>
          <w:b/>
          <w:bCs/>
        </w:rPr>
        <w:t xml:space="preserve">, F., Wang, X., Huang, C., Jin, R., Yang, Q., Alhammadi, A., Zhang, Z., Yuen, C., &amp; Debbah, M. </w:t>
      </w:r>
      <w:r w:rsidRPr="00B467EA">
        <w:rPr>
          <w:rFonts w:ascii="Times New Roman" w:hAnsi="Times New Roman" w:cs="Times New Roman"/>
        </w:rPr>
        <w:t xml:space="preserve">(2024). Robust Continuous-Time Beam Tracking with Liquid Neural Network. arXiv (Cornell University). </w:t>
      </w:r>
      <w:hyperlink r:id="rId40" w:history="1">
        <w:r w:rsidRPr="00B467EA">
          <w:rPr>
            <w:rStyle w:val="af"/>
            <w:rFonts w:ascii="Times New Roman" w:hAnsi="Times New Roman" w:cs="Times New Roman"/>
          </w:rPr>
          <w:t>https://doi.org/10.48550/arxiv.2405.00365</w:t>
        </w:r>
      </w:hyperlink>
    </w:p>
    <w:p w14:paraId="43A461C9" w14:textId="6FC851B5" w:rsidR="00BC6661" w:rsidRPr="004B40A3" w:rsidRDefault="00BC6661" w:rsidP="004B40A3">
      <w:pPr>
        <w:jc w:val="both"/>
        <w:rPr>
          <w:rFonts w:ascii="Times New Roman" w:hAnsi="Times New Roman" w:cs="Times New Roman"/>
        </w:rPr>
      </w:pPr>
    </w:p>
    <w:sectPr w:rsidR="00BC6661" w:rsidRPr="004B40A3" w:rsidSect="00D262D5">
      <w:footerReference w:type="default" r:id="rId41"/>
      <w:pgSz w:w="12240" w:h="15840"/>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8"/>
  </w:num>
  <w:num w:numId="5" w16cid:durableId="258219601">
    <w:abstractNumId w:val="7"/>
  </w:num>
  <w:num w:numId="6" w16cid:durableId="731393636">
    <w:abstractNumId w:val="17"/>
  </w:num>
  <w:num w:numId="7" w16cid:durableId="854151323">
    <w:abstractNumId w:val="4"/>
  </w:num>
  <w:num w:numId="8" w16cid:durableId="72699268">
    <w:abstractNumId w:val="15"/>
  </w:num>
  <w:num w:numId="9" w16cid:durableId="1092049703">
    <w:abstractNumId w:val="2"/>
  </w:num>
  <w:num w:numId="10" w16cid:durableId="1872571959">
    <w:abstractNumId w:val="9"/>
  </w:num>
  <w:num w:numId="11" w16cid:durableId="1038579229">
    <w:abstractNumId w:val="16"/>
  </w:num>
  <w:num w:numId="12" w16cid:durableId="931861636">
    <w:abstractNumId w:val="11"/>
  </w:num>
  <w:num w:numId="13" w16cid:durableId="2112318682">
    <w:abstractNumId w:val="10"/>
  </w:num>
  <w:num w:numId="14" w16cid:durableId="1473135881">
    <w:abstractNumId w:val="8"/>
  </w:num>
  <w:num w:numId="15" w16cid:durableId="242304914">
    <w:abstractNumId w:val="12"/>
  </w:num>
  <w:num w:numId="16" w16cid:durableId="358433690">
    <w:abstractNumId w:val="13"/>
  </w:num>
  <w:num w:numId="17" w16cid:durableId="537401115">
    <w:abstractNumId w:val="1"/>
  </w:num>
  <w:num w:numId="18" w16cid:durableId="1193418539">
    <w:abstractNumId w:val="3"/>
  </w:num>
  <w:num w:numId="19" w16cid:durableId="1184511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3291E"/>
    <w:rsid w:val="00065CF3"/>
    <w:rsid w:val="000B63EC"/>
    <w:rsid w:val="000C5743"/>
    <w:rsid w:val="000F079E"/>
    <w:rsid w:val="00132881"/>
    <w:rsid w:val="001552F7"/>
    <w:rsid w:val="00171EE9"/>
    <w:rsid w:val="001B7F17"/>
    <w:rsid w:val="001E0C74"/>
    <w:rsid w:val="001E235A"/>
    <w:rsid w:val="001F2334"/>
    <w:rsid w:val="00230567"/>
    <w:rsid w:val="00234EE4"/>
    <w:rsid w:val="00244006"/>
    <w:rsid w:val="00264299"/>
    <w:rsid w:val="002646C5"/>
    <w:rsid w:val="00285D9F"/>
    <w:rsid w:val="002869E5"/>
    <w:rsid w:val="00294E55"/>
    <w:rsid w:val="002A2FDD"/>
    <w:rsid w:val="002A7728"/>
    <w:rsid w:val="002B4E0A"/>
    <w:rsid w:val="002B6695"/>
    <w:rsid w:val="002D4E2B"/>
    <w:rsid w:val="00322F9A"/>
    <w:rsid w:val="0032728A"/>
    <w:rsid w:val="00342ECE"/>
    <w:rsid w:val="00371372"/>
    <w:rsid w:val="00375E78"/>
    <w:rsid w:val="003B6585"/>
    <w:rsid w:val="003C3835"/>
    <w:rsid w:val="0046413A"/>
    <w:rsid w:val="004B09B1"/>
    <w:rsid w:val="004B40A3"/>
    <w:rsid w:val="004C08E6"/>
    <w:rsid w:val="004C0A7D"/>
    <w:rsid w:val="004E141E"/>
    <w:rsid w:val="004E29B3"/>
    <w:rsid w:val="004E583D"/>
    <w:rsid w:val="004F2305"/>
    <w:rsid w:val="00512E57"/>
    <w:rsid w:val="00542B3B"/>
    <w:rsid w:val="00555328"/>
    <w:rsid w:val="00565E32"/>
    <w:rsid w:val="00590D07"/>
    <w:rsid w:val="005A4C69"/>
    <w:rsid w:val="005D4400"/>
    <w:rsid w:val="0065203A"/>
    <w:rsid w:val="00666FC1"/>
    <w:rsid w:val="00676E68"/>
    <w:rsid w:val="006A2C17"/>
    <w:rsid w:val="006A7931"/>
    <w:rsid w:val="006D51D7"/>
    <w:rsid w:val="006E5CC2"/>
    <w:rsid w:val="00720932"/>
    <w:rsid w:val="0072204B"/>
    <w:rsid w:val="00730A77"/>
    <w:rsid w:val="00784D58"/>
    <w:rsid w:val="00795DAB"/>
    <w:rsid w:val="007B7B9B"/>
    <w:rsid w:val="007C564C"/>
    <w:rsid w:val="007F1D7A"/>
    <w:rsid w:val="00800CBA"/>
    <w:rsid w:val="00851DD7"/>
    <w:rsid w:val="00884626"/>
    <w:rsid w:val="00890DCF"/>
    <w:rsid w:val="008A1A8B"/>
    <w:rsid w:val="008A1F04"/>
    <w:rsid w:val="008C354B"/>
    <w:rsid w:val="008D6863"/>
    <w:rsid w:val="008E09EE"/>
    <w:rsid w:val="008E28B4"/>
    <w:rsid w:val="008F3A77"/>
    <w:rsid w:val="008F3F67"/>
    <w:rsid w:val="00902C61"/>
    <w:rsid w:val="009073A0"/>
    <w:rsid w:val="0092340A"/>
    <w:rsid w:val="00941849"/>
    <w:rsid w:val="00950D23"/>
    <w:rsid w:val="009545F9"/>
    <w:rsid w:val="00976AD5"/>
    <w:rsid w:val="00994B31"/>
    <w:rsid w:val="009B4B92"/>
    <w:rsid w:val="009D74BA"/>
    <w:rsid w:val="00A46F49"/>
    <w:rsid w:val="00A509F3"/>
    <w:rsid w:val="00A825D3"/>
    <w:rsid w:val="00A83E04"/>
    <w:rsid w:val="00A93B73"/>
    <w:rsid w:val="00AB68D7"/>
    <w:rsid w:val="00AC3060"/>
    <w:rsid w:val="00B467EA"/>
    <w:rsid w:val="00B7351A"/>
    <w:rsid w:val="00B809B9"/>
    <w:rsid w:val="00B84681"/>
    <w:rsid w:val="00B86B75"/>
    <w:rsid w:val="00BC202E"/>
    <w:rsid w:val="00BC48D5"/>
    <w:rsid w:val="00BC6661"/>
    <w:rsid w:val="00BF4566"/>
    <w:rsid w:val="00C05225"/>
    <w:rsid w:val="00C16329"/>
    <w:rsid w:val="00C27818"/>
    <w:rsid w:val="00C36279"/>
    <w:rsid w:val="00C80083"/>
    <w:rsid w:val="00C86226"/>
    <w:rsid w:val="00CC1570"/>
    <w:rsid w:val="00CE3D02"/>
    <w:rsid w:val="00CF7541"/>
    <w:rsid w:val="00D0425E"/>
    <w:rsid w:val="00D262D5"/>
    <w:rsid w:val="00D5220D"/>
    <w:rsid w:val="00D64CD5"/>
    <w:rsid w:val="00D678F4"/>
    <w:rsid w:val="00D83497"/>
    <w:rsid w:val="00DC23FA"/>
    <w:rsid w:val="00DC3589"/>
    <w:rsid w:val="00DE2418"/>
    <w:rsid w:val="00E0598D"/>
    <w:rsid w:val="00E0753E"/>
    <w:rsid w:val="00E315A3"/>
    <w:rsid w:val="00E55656"/>
    <w:rsid w:val="00E625E9"/>
    <w:rsid w:val="00E633A0"/>
    <w:rsid w:val="00E97EDE"/>
    <w:rsid w:val="00EA0838"/>
    <w:rsid w:val="00F25F97"/>
    <w:rsid w:val="00F3108F"/>
    <w:rsid w:val="00F411CC"/>
    <w:rsid w:val="00F6326C"/>
    <w:rsid w:val="00FB71A4"/>
    <w:rsid w:val="00FD0783"/>
    <w:rsid w:val="00FE4DD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C69"/>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0">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555328"/>
    <w:pPr>
      <w:spacing w:after="100"/>
      <w:ind w:left="480"/>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48550/arxiv.2304.10054" TargetMode="External"/><Relationship Id="rId21" Type="http://schemas.openxmlformats.org/officeDocument/2006/relationships/image" Target="media/image14.png"/><Relationship Id="rId34" Type="http://schemas.openxmlformats.org/officeDocument/2006/relationships/hyperlink" Target="https://doi.org/10.1038/s42256-020-00237-3"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609/aaai.v35i9.16936" TargetMode="External"/><Relationship Id="rId37" Type="http://schemas.openxmlformats.org/officeDocument/2006/relationships/hyperlink" Target="https://doi.org/10.48550/arxiv.2307.04772" TargetMode="External"/><Relationship Id="rId40" Type="http://schemas.openxmlformats.org/officeDocument/2006/relationships/hyperlink" Target="https://doi.org/10.48550/arxiv.2405.0036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48550/arxiv.2401.0963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48550/arxiv.2304.086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48550/arxiv.2404.05304" TargetMode="External"/><Relationship Id="rId35" Type="http://schemas.openxmlformats.org/officeDocument/2006/relationships/hyperlink" Target="https://doi.org/10.48550/arxiv.1803.08554"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12265-024-10504-y" TargetMode="External"/><Relationship Id="rId38" Type="http://schemas.openxmlformats.org/officeDocument/2006/relationships/hyperlink" Target="https://doi.org/10.1109/ISBI48211.2021.9434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16</Pages>
  <Words>5169</Words>
  <Characters>29465</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88</cp:revision>
  <cp:lastPrinted>2024-06-19T09:57:00Z</cp:lastPrinted>
  <dcterms:created xsi:type="dcterms:W3CDTF">2024-06-16T10:14:00Z</dcterms:created>
  <dcterms:modified xsi:type="dcterms:W3CDTF">2025-05-02T11:26:00Z</dcterms:modified>
</cp:coreProperties>
</file>