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поставок материалов на IV квартал 2026 года</w:t>
      </w:r>
    </w:p>
    <w:p>
      <w:r>
        <w:t>Участок № 3 (км 212 – км 268). Редакция от 01.10.2026. Ответственный за план — начальник отдела снабжения Морозова И.В.</w:t>
      </w:r>
    </w:p>
    <w:p>
      <w:pPr>
        <w:pStyle w:val="Heading1"/>
      </w:pPr>
      <w:r>
        <w:t>Поставки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Материал</w:t>
            </w:r>
          </w:p>
        </w:tc>
        <w:tc>
          <w:tcPr>
            <w:tcW w:type="dxa" w:w="1440"/>
          </w:tcPr>
          <w:p>
            <w:r>
              <w:t>Объём</w:t>
            </w:r>
          </w:p>
        </w:tc>
        <w:tc>
          <w:tcPr>
            <w:tcW w:type="dxa" w:w="1440"/>
          </w:tcPr>
          <w:p>
            <w:r>
              <w:t>Поставщик</w:t>
            </w:r>
          </w:p>
        </w:tc>
        <w:tc>
          <w:tcPr>
            <w:tcW w:type="dxa" w:w="1440"/>
          </w:tcPr>
          <w:p>
            <w:r>
              <w:t>Срок поставки</w:t>
            </w:r>
          </w:p>
        </w:tc>
        <w:tc>
          <w:tcPr>
            <w:tcW w:type="dxa" w:w="1440"/>
          </w:tcPr>
          <w:p>
            <w: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Арматура А500С Ø32 (остаток)</w:t>
            </w:r>
          </w:p>
        </w:tc>
        <w:tc>
          <w:tcPr>
            <w:tcW w:type="dxa" w:w="1440"/>
          </w:tcPr>
          <w:p>
            <w:r>
              <w:t>30 т</w:t>
            </w:r>
          </w:p>
        </w:tc>
        <w:tc>
          <w:tcPr>
            <w:tcW w:type="dxa" w:w="1440"/>
          </w:tcPr>
          <w:p>
            <w:r>
              <w:t>ООО «Уралпрокат-Сервис» (резервный)</w:t>
            </w:r>
          </w:p>
        </w:tc>
        <w:tc>
          <w:tcPr>
            <w:tcW w:type="dxa" w:w="1440"/>
          </w:tcPr>
          <w:p>
            <w:r>
              <w:t>06.10.2026</w:t>
            </w:r>
          </w:p>
        </w:tc>
        <w:tc>
          <w:tcPr>
            <w:tcW w:type="dxa" w:w="1440"/>
          </w:tcPr>
          <w:p>
            <w:r>
              <w:t>В пути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Арматура А500С Ø12</w:t>
            </w:r>
          </w:p>
        </w:tc>
        <w:tc>
          <w:tcPr>
            <w:tcW w:type="dxa" w:w="1440"/>
          </w:tcPr>
          <w:p>
            <w:r>
              <w:t>24 т</w:t>
            </w:r>
          </w:p>
        </w:tc>
        <w:tc>
          <w:tcPr>
            <w:tcW w:type="dxa" w:w="1440"/>
          </w:tcPr>
          <w:p>
            <w:r>
              <w:t>АО «СтальКомплект»</w:t>
            </w:r>
          </w:p>
        </w:tc>
        <w:tc>
          <w:tcPr>
            <w:tcW w:type="dxa" w:w="1440"/>
          </w:tcPr>
          <w:p>
            <w:r>
              <w:t>12.10.2026</w:t>
            </w:r>
          </w:p>
        </w:tc>
        <w:tc>
          <w:tcPr>
            <w:tcW w:type="dxa" w:w="1440"/>
          </w:tcPr>
          <w:p>
            <w:r>
              <w:t>Подтверждено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Тепловые пушки и тенты для тепляков</w:t>
            </w:r>
          </w:p>
        </w:tc>
        <w:tc>
          <w:tcPr>
            <w:tcW w:type="dxa" w:w="1440"/>
          </w:tcPr>
          <w:p>
            <w:r>
              <w:t>12 комплектов</w:t>
            </w:r>
          </w:p>
        </w:tc>
        <w:tc>
          <w:tcPr>
            <w:tcW w:type="dxa" w:w="1440"/>
          </w:tcPr>
          <w:p>
            <w:r>
              <w:t>ООО «ТехАренда»</w:t>
            </w:r>
          </w:p>
        </w:tc>
        <w:tc>
          <w:tcPr>
            <w:tcW w:type="dxa" w:w="1440"/>
          </w:tcPr>
          <w:p>
            <w:r>
              <w:t>15.10.2026</w:t>
            </w:r>
          </w:p>
        </w:tc>
        <w:tc>
          <w:tcPr>
            <w:tcW w:type="dxa" w:w="1440"/>
          </w:tcPr>
          <w:p>
            <w:r>
              <w:t>Заявка направлена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Бетон В35 F300 W8</w:t>
            </w:r>
          </w:p>
        </w:tc>
        <w:tc>
          <w:tcPr>
            <w:tcW w:type="dxa" w:w="1440"/>
          </w:tcPr>
          <w:p>
            <w:r>
              <w:t>1 450 м³</w:t>
            </w:r>
          </w:p>
        </w:tc>
        <w:tc>
          <w:tcPr>
            <w:tcW w:type="dxa" w:w="1440"/>
          </w:tcPr>
          <w:p>
            <w:r>
              <w:t>ООО «БетонЛайн»</w:t>
            </w:r>
          </w:p>
        </w:tc>
        <w:tc>
          <w:tcPr>
            <w:tcW w:type="dxa" w:w="1440"/>
          </w:tcPr>
          <w:p>
            <w:r>
              <w:t>13.10.2026 – 30.10.2026 по графику</w:t>
            </w:r>
          </w:p>
        </w:tc>
        <w:tc>
          <w:tcPr>
            <w:tcW w:type="dxa" w:w="1440"/>
          </w:tcPr>
          <w:p>
            <w:r>
              <w:t>Подтверждено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Щебень фракции 20–40</w:t>
            </w:r>
          </w:p>
        </w:tc>
        <w:tc>
          <w:tcPr>
            <w:tcW w:type="dxa" w:w="1440"/>
          </w:tcPr>
          <w:p>
            <w:r>
              <w:t>18 000 т</w:t>
            </w:r>
          </w:p>
        </w:tc>
        <w:tc>
          <w:tcPr>
            <w:tcW w:type="dxa" w:w="1440"/>
          </w:tcPr>
          <w:p>
            <w:r>
              <w:t>ООО «Карьер Валдай»</w:t>
            </w:r>
          </w:p>
        </w:tc>
        <w:tc>
          <w:tcPr>
            <w:tcW w:type="dxa" w:w="1440"/>
          </w:tcPr>
          <w:p>
            <w:r>
              <w:t>01.10.2026 – 15.11.2026</w:t>
            </w:r>
          </w:p>
        </w:tc>
        <w:tc>
          <w:tcPr>
            <w:tcW w:type="dxa" w:w="1440"/>
          </w:tcPr>
          <w:p>
            <w:r>
              <w:t>Выполняется, отставание 2 400 т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Геотекстиль</w:t>
            </w:r>
          </w:p>
        </w:tc>
        <w:tc>
          <w:tcPr>
            <w:tcW w:type="dxa" w:w="1440"/>
          </w:tcPr>
          <w:p>
            <w:r>
              <w:t>42 000 м²</w:t>
            </w:r>
          </w:p>
        </w:tc>
        <w:tc>
          <w:tcPr>
            <w:tcW w:type="dxa" w:w="1440"/>
          </w:tcPr>
          <w:p>
            <w:r>
              <w:t>ООО «ГеоМатериалы»</w:t>
            </w:r>
          </w:p>
        </w:tc>
        <w:tc>
          <w:tcPr>
            <w:tcW w:type="dxa" w:w="1440"/>
          </w:tcPr>
          <w:p>
            <w:r>
              <w:t>05.11.2026</w:t>
            </w:r>
          </w:p>
        </w:tc>
        <w:tc>
          <w:tcPr>
            <w:tcW w:type="dxa" w:w="1440"/>
          </w:tcPr>
          <w:p>
            <w:r>
              <w:t>Не подтверждено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Трубы металлические гофрированные Ø2,0 м</w:t>
            </w:r>
          </w:p>
        </w:tc>
        <w:tc>
          <w:tcPr>
            <w:tcW w:type="dxa" w:w="1440"/>
          </w:tcPr>
          <w:p>
            <w:r>
              <w:t>14 шт.</w:t>
            </w:r>
          </w:p>
        </w:tc>
        <w:tc>
          <w:tcPr>
            <w:tcW w:type="dxa" w:w="1440"/>
          </w:tcPr>
          <w:p>
            <w:r>
              <w:t>ООО «ТрубоСтрой»</w:t>
            </w:r>
          </w:p>
        </w:tc>
        <w:tc>
          <w:tcPr>
            <w:tcW w:type="dxa" w:w="1440"/>
          </w:tcPr>
          <w:p>
            <w:r>
              <w:t>18.11.2026</w:t>
            </w:r>
          </w:p>
        </w:tc>
        <w:tc>
          <w:tcPr>
            <w:tcW w:type="dxa" w:w="1440"/>
          </w:tcPr>
          <w:p>
            <w:r>
              <w:t>Подтверждено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Опорные части мостовые</w:t>
            </w:r>
          </w:p>
        </w:tc>
        <w:tc>
          <w:tcPr>
            <w:tcW w:type="dxa" w:w="1440"/>
          </w:tcPr>
          <w:p>
            <w:r>
              <w:t>16 шт.</w:t>
            </w:r>
          </w:p>
        </w:tc>
        <w:tc>
          <w:tcPr>
            <w:tcW w:type="dxa" w:w="1440"/>
          </w:tcPr>
          <w:p>
            <w:r>
              <w:t>Поставщик не выбран</w:t>
            </w:r>
          </w:p>
        </w:tc>
        <w:tc>
          <w:tcPr>
            <w:tcW w:type="dxa" w:w="1440"/>
          </w:tcPr>
          <w:p>
            <w:r>
              <w:t>10.12.2026</w:t>
            </w:r>
          </w:p>
        </w:tc>
        <w:tc>
          <w:tcPr>
            <w:tcW w:type="dxa" w:w="1440"/>
          </w:tcPr>
          <w:p>
            <w:r>
              <w:t>Договор не заключён</w:t>
            </w:r>
          </w:p>
        </w:tc>
      </w:tr>
    </w:tbl>
    <w:p>
      <w:pPr>
        <w:pStyle w:val="Heading1"/>
      </w:pPr>
      <w:r>
        <w:t>Изменения относительно редакции от 01.09.2026</w:t>
      </w:r>
    </w:p>
    <w:p>
      <w:r>
        <w:t>Остаток арматуры А500С Ø32 (30 т) передан резервному поставщику ООО «Уралпрокат-Сервис» по решению совещания от 28.09.2026.</w:t>
      </w:r>
    </w:p>
    <w:p>
      <w:r>
        <w:t>Добавлена позиция 3 — аренда тепловых пушек и тентов для бетонирования опор в холодный период.</w:t>
      </w:r>
    </w:p>
    <w:p>
      <w:r>
        <w:t>Начало поставок бетона В35 сдвинуто с 01.10.2026 на 13.10.2026 вслед за переносом бетонирования опор.</w:t>
      </w:r>
    </w:p>
    <w:p>
      <w:pPr>
        <w:pStyle w:val="Heading1"/>
      </w:pPr>
      <w:r>
        <w:t>Риски поставок</w:t>
      </w:r>
    </w:p>
    <w:p>
      <w:r>
        <w:t>Позиции 6 и 8 не подтверждены поставщиками. Срыв поставки опорных частей сдвинет монтаж пролётных строений моста через р. Тьма.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