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DD44ED">
      <w:r w:rsidRPr="00DD44ED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DD44ED">
      <w:r w:rsidRPr="00DD44ED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6A5A67">
        <w:rPr>
          <w:b/>
          <w:sz w:val="36"/>
        </w:rPr>
        <w:t xml:space="preserve">j budowy </w:t>
      </w:r>
      <w:r w:rsidR="00D4138D">
        <w:rPr>
          <w:b/>
          <w:sz w:val="36"/>
        </w:rPr>
        <w:t xml:space="preserve">hali montażowej i magazynowej na działce nr 3647 przy </w:t>
      </w:r>
      <w:r w:rsidR="00D4138D">
        <w:rPr>
          <w:b/>
          <w:sz w:val="36"/>
        </w:rPr>
        <w:br/>
        <w:t>ul. Zaruskiego w Sosnowcu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6E0755" w:rsidRDefault="006E0755" w:rsidP="006E0755">
      <w:pPr>
        <w:rPr>
          <w:b/>
          <w:sz w:val="28"/>
        </w:rPr>
      </w:pPr>
      <w:r>
        <w:rPr>
          <w:b/>
          <w:sz w:val="28"/>
        </w:rPr>
        <w:t>Zleceniodawca</w:t>
      </w:r>
      <w:r w:rsidRPr="00CC5F5B">
        <w:rPr>
          <w:b/>
          <w:sz w:val="28"/>
        </w:rPr>
        <w:t>:</w:t>
      </w:r>
    </w:p>
    <w:p w:rsidR="006E0755" w:rsidRPr="008745E0" w:rsidRDefault="006E0755" w:rsidP="006E0755">
      <w:pPr>
        <w:rPr>
          <w:sz w:val="28"/>
        </w:rPr>
      </w:pPr>
      <w:r w:rsidRPr="008745E0">
        <w:rPr>
          <w:sz w:val="28"/>
        </w:rPr>
        <w:t>Martyna Dorobisz</w:t>
      </w:r>
    </w:p>
    <w:p w:rsidR="006E0755" w:rsidRPr="00C83A3A" w:rsidRDefault="006E0755" w:rsidP="006E0755">
      <w:pPr>
        <w:rPr>
          <w:sz w:val="28"/>
        </w:rPr>
      </w:pPr>
      <w:r w:rsidRPr="00C83A3A">
        <w:rPr>
          <w:sz w:val="28"/>
        </w:rPr>
        <w:t>Format APA</w:t>
      </w:r>
    </w:p>
    <w:p w:rsidR="006E0755" w:rsidRPr="00C83A3A" w:rsidRDefault="006E0755" w:rsidP="006E0755">
      <w:pPr>
        <w:rPr>
          <w:sz w:val="28"/>
        </w:rPr>
      </w:pPr>
      <w:r>
        <w:rPr>
          <w:sz w:val="28"/>
        </w:rPr>
        <w:t>u</w:t>
      </w:r>
      <w:r w:rsidRPr="00C83A3A">
        <w:rPr>
          <w:sz w:val="28"/>
        </w:rPr>
        <w:t>l. Łukasińskiego 29</w:t>
      </w:r>
    </w:p>
    <w:p w:rsidR="0072675D" w:rsidRDefault="006E0755" w:rsidP="006E0755">
      <w:pPr>
        <w:rPr>
          <w:sz w:val="28"/>
        </w:rPr>
      </w:pPr>
      <w:r w:rsidRPr="00C83A3A">
        <w:rPr>
          <w:sz w:val="28"/>
        </w:rPr>
        <w:t>41-218 Sosnowiec</w:t>
      </w:r>
    </w:p>
    <w:p w:rsidR="007A0FA2" w:rsidRDefault="007A0FA2" w:rsidP="0072675D">
      <w:pPr>
        <w:rPr>
          <w:sz w:val="28"/>
          <w:szCs w:val="28"/>
        </w:rPr>
      </w:pPr>
    </w:p>
    <w:p w:rsidR="00B72FF4" w:rsidRDefault="00B72FF4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781200" w:rsidRDefault="00781200">
      <w:pPr>
        <w:rPr>
          <w:sz w:val="28"/>
        </w:rPr>
      </w:pPr>
    </w:p>
    <w:p w:rsidR="00781200" w:rsidRDefault="00781200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6E0755">
      <w:pPr>
        <w:pStyle w:val="Nagwek2"/>
      </w:pPr>
      <w:r>
        <w:t>Luty</w:t>
      </w:r>
      <w:r w:rsidR="0097471E">
        <w:t>,</w:t>
      </w:r>
      <w:r>
        <w:t xml:space="preserve">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78337C">
        <w:rPr>
          <w:sz w:val="28"/>
        </w:rPr>
        <w:t xml:space="preserve">przy ul. </w:t>
      </w:r>
      <w:r w:rsidR="00E43D6F">
        <w:rPr>
          <w:sz w:val="28"/>
        </w:rPr>
        <w:t>Zaruskiego</w:t>
      </w:r>
      <w:r w:rsidR="0097471E">
        <w:rPr>
          <w:sz w:val="28"/>
        </w:rPr>
        <w:t xml:space="preserve"> w Sosnowcu</w:t>
      </w:r>
      <w:r w:rsidR="00F91A2E">
        <w:rPr>
          <w:sz w:val="28"/>
        </w:rPr>
        <w:t>.</w:t>
      </w:r>
      <w:r w:rsidRPr="00C72571">
        <w:rPr>
          <w:sz w:val="28"/>
          <w:szCs w:val="28"/>
        </w:rPr>
        <w:t xml:space="preserve">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E43D6F">
        <w:rPr>
          <w:sz w:val="28"/>
        </w:rPr>
        <w:t>5</w:t>
      </w:r>
      <w:r w:rsidR="00DD18E9">
        <w:rPr>
          <w:sz w:val="28"/>
        </w:rPr>
        <w:t>,</w:t>
      </w:r>
      <w:r w:rsidR="002726ED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6607A9" w:rsidRPr="0078337C" w:rsidRDefault="008F4AB6" w:rsidP="0078337C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czwartorzęd –</w:t>
      </w:r>
      <w:r w:rsidR="003B1D5E">
        <w:rPr>
          <w:sz w:val="28"/>
        </w:rPr>
        <w:t xml:space="preserve"> </w:t>
      </w:r>
      <w:r w:rsidR="00DE4777">
        <w:rPr>
          <w:sz w:val="28"/>
        </w:rPr>
        <w:t xml:space="preserve">nasyp </w:t>
      </w:r>
      <w:r w:rsidR="001031C0">
        <w:rPr>
          <w:sz w:val="28"/>
        </w:rPr>
        <w:t xml:space="preserve">niekontrolowany, czarny (piasek </w:t>
      </w:r>
      <w:r w:rsidR="001031C0">
        <w:rPr>
          <w:sz w:val="28"/>
        </w:rPr>
        <w:br/>
        <w:t xml:space="preserve">i glina), </w:t>
      </w:r>
      <w:r w:rsidR="00C805C2">
        <w:rPr>
          <w:sz w:val="28"/>
        </w:rPr>
        <w:t>piasek średni, żółty, średnio zagęszczony, wilgotny, glina czerwonawa, twardoplastyczna, wilgotna, glin pylasta z przewarstwieniami piasku i z okruchami kamienia, twardoplastyczna, wilgotna, rumosz wapienia, półzwarty, wilgotny, lita skała wapienia,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0F0F4E">
        <w:rPr>
          <w:sz w:val="28"/>
        </w:rPr>
        <w:t xml:space="preserve"> – 6 i przekrojach geologicznych nr 7 - 9</w:t>
      </w:r>
      <w:r w:rsidR="00573E58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F576E6" w:rsidRPr="00F576E6" w:rsidRDefault="0002610A" w:rsidP="00F576E6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ab/>
      </w:r>
      <w:r w:rsidR="000A6692" w:rsidRPr="000A6692">
        <w:rPr>
          <w:b/>
          <w:sz w:val="28"/>
          <w:szCs w:val="28"/>
        </w:rPr>
        <w:t>Na omawianym terenie poziom</w:t>
      </w:r>
      <w:r w:rsidR="0096375A">
        <w:rPr>
          <w:b/>
          <w:sz w:val="28"/>
          <w:szCs w:val="28"/>
        </w:rPr>
        <w:t>u</w:t>
      </w:r>
      <w:r w:rsidR="000A6692" w:rsidRPr="000A6692">
        <w:rPr>
          <w:b/>
          <w:sz w:val="28"/>
          <w:szCs w:val="28"/>
        </w:rPr>
        <w:t xml:space="preserve"> wód gruntowych </w:t>
      </w:r>
      <w:r w:rsidR="0096375A">
        <w:rPr>
          <w:b/>
          <w:sz w:val="28"/>
          <w:szCs w:val="28"/>
        </w:rPr>
        <w:t>nie</w:t>
      </w:r>
      <w:r w:rsidR="0078337C">
        <w:rPr>
          <w:b/>
          <w:sz w:val="28"/>
          <w:szCs w:val="28"/>
        </w:rPr>
        <w:t xml:space="preserve"> stwierdzono </w:t>
      </w:r>
      <w:r w:rsidR="000A6692" w:rsidRPr="000A6692">
        <w:rPr>
          <w:b/>
          <w:sz w:val="28"/>
          <w:szCs w:val="28"/>
        </w:rPr>
        <w:t xml:space="preserve">w wierceniach </w:t>
      </w:r>
      <w:r w:rsidR="0096375A">
        <w:rPr>
          <w:b/>
          <w:sz w:val="28"/>
          <w:szCs w:val="28"/>
        </w:rPr>
        <w:t>do</w:t>
      </w:r>
      <w:r w:rsidR="000A6692" w:rsidRPr="000A6692">
        <w:rPr>
          <w:b/>
          <w:sz w:val="28"/>
          <w:szCs w:val="28"/>
        </w:rPr>
        <w:t xml:space="preserve"> głębokości </w:t>
      </w:r>
      <w:r w:rsidR="005A0880">
        <w:rPr>
          <w:b/>
          <w:sz w:val="28"/>
          <w:szCs w:val="28"/>
        </w:rPr>
        <w:t>5</w:t>
      </w:r>
      <w:r w:rsidR="0096375A">
        <w:rPr>
          <w:b/>
          <w:sz w:val="28"/>
          <w:szCs w:val="28"/>
        </w:rPr>
        <w:t xml:space="preserve">,00 </w:t>
      </w:r>
      <w:r w:rsidR="000A6692" w:rsidRPr="000A6692">
        <w:rPr>
          <w:b/>
          <w:sz w:val="28"/>
          <w:szCs w:val="28"/>
        </w:rPr>
        <w:t xml:space="preserve">m </w:t>
      </w:r>
      <w:proofErr w:type="spellStart"/>
      <w:r w:rsidR="000A6692" w:rsidRPr="004375E0">
        <w:rPr>
          <w:b/>
          <w:sz w:val="28"/>
          <w:szCs w:val="28"/>
        </w:rPr>
        <w:t>p.p.t</w:t>
      </w:r>
      <w:proofErr w:type="spellEnd"/>
      <w:r w:rsidR="000A6692" w:rsidRPr="004375E0">
        <w:rPr>
          <w:b/>
          <w:sz w:val="28"/>
          <w:szCs w:val="28"/>
        </w:rPr>
        <w:t>.</w:t>
      </w:r>
    </w:p>
    <w:p w:rsidR="00F576E6" w:rsidRPr="00F576E6" w:rsidRDefault="00F576E6" w:rsidP="00F576E6">
      <w:pPr>
        <w:pStyle w:val="Tekstpodstawowy3"/>
        <w:ind w:firstLine="708"/>
        <w:jc w:val="both"/>
        <w:rPr>
          <w:sz w:val="28"/>
          <w:szCs w:val="28"/>
        </w:rPr>
      </w:pPr>
      <w:r w:rsidRPr="00F576E6">
        <w:rPr>
          <w:sz w:val="28"/>
          <w:szCs w:val="28"/>
        </w:rPr>
        <w:t xml:space="preserve">Lokalnie możliwe są drobne wysięki wód gruntowych są to wody </w:t>
      </w:r>
      <w:r w:rsidRPr="00F576E6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0A6692" w:rsidRPr="000A6692" w:rsidRDefault="000A6692" w:rsidP="00F576E6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>Spływ wód gruntowych i powierzchniowych (atmosferycznych) odbywa się w kierunku na N</w:t>
      </w:r>
      <w:r w:rsidR="00201C01">
        <w:rPr>
          <w:sz w:val="28"/>
          <w:szCs w:val="28"/>
        </w:rPr>
        <w:t>W</w:t>
      </w:r>
      <w:r w:rsidRPr="000A6692">
        <w:rPr>
          <w:sz w:val="28"/>
          <w:szCs w:val="28"/>
        </w:rPr>
        <w:t>. Nachylenie terenu wynosi od 0 do 4</w:t>
      </w:r>
      <w:r w:rsidRPr="000A6692">
        <w:rPr>
          <w:sz w:val="28"/>
          <w:szCs w:val="28"/>
          <w:vertAlign w:val="superscript"/>
        </w:rPr>
        <w:t>o</w:t>
      </w:r>
    </w:p>
    <w:p w:rsidR="000A6692" w:rsidRPr="000A6692" w:rsidRDefault="000A6692" w:rsidP="000A6692">
      <w:pPr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0A6692">
        <w:rPr>
          <w:sz w:val="28"/>
          <w:szCs w:val="28"/>
        </w:rPr>
        <w:br/>
        <w:t>i rowów melioracyjnych.</w:t>
      </w:r>
    </w:p>
    <w:p w:rsidR="004B5634" w:rsidRPr="004B5634" w:rsidRDefault="004B5634" w:rsidP="000A6692">
      <w:pPr>
        <w:pStyle w:val="Tekstpodstawowy3"/>
        <w:ind w:firstLine="708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5A0880">
        <w:rPr>
          <w:b w:val="0"/>
          <w:bCs w:val="0"/>
        </w:rPr>
        <w:t>5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F4AB6">
        <w:rPr>
          <w:b w:val="0"/>
          <w:bCs w:val="0"/>
        </w:rPr>
        <w:t xml:space="preserve"> geotechniczn</w:t>
      </w:r>
      <w:r w:rsidR="005A0880">
        <w:rPr>
          <w:b w:val="0"/>
          <w:bCs w:val="0"/>
        </w:rPr>
        <w:t>ych</w:t>
      </w:r>
      <w:r w:rsidR="004A48AE">
        <w:rPr>
          <w:b w:val="0"/>
          <w:bCs w:val="0"/>
        </w:rPr>
        <w:t>, któr</w:t>
      </w:r>
      <w:r w:rsidR="005A0880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B91D27" w:rsidRDefault="00B91D27" w:rsidP="00CF6DA0">
      <w:pPr>
        <w:jc w:val="both"/>
        <w:rPr>
          <w:sz w:val="28"/>
          <w:szCs w:val="28"/>
        </w:rPr>
      </w:pPr>
    </w:p>
    <w:p w:rsidR="00B91D27" w:rsidRPr="00CF6DA0" w:rsidRDefault="00B91D27" w:rsidP="00B91D27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 w:rsidR="005A0880">
        <w:rPr>
          <w:szCs w:val="28"/>
        </w:rPr>
        <w:t>piasek średni</w:t>
      </w:r>
      <w:r w:rsidRPr="00CF6DA0">
        <w:rPr>
          <w:b w:val="0"/>
          <w:szCs w:val="28"/>
        </w:rPr>
        <w:t xml:space="preserve">, </w:t>
      </w:r>
      <w:r w:rsidR="005A0880">
        <w:rPr>
          <w:b w:val="0"/>
          <w:szCs w:val="28"/>
        </w:rPr>
        <w:t xml:space="preserve">żółty, zalegający w przedmiotowym terenie poniżej warstwy nasypów w otworach nr 1/02/14, 3/02/14 – 5/02/14 do głębokości ok. 0,80 m ~ 2,20 m </w:t>
      </w:r>
      <w:proofErr w:type="spellStart"/>
      <w:r w:rsidR="00F146E7">
        <w:rPr>
          <w:b w:val="0"/>
          <w:szCs w:val="28"/>
        </w:rPr>
        <w:t>p.p.t</w:t>
      </w:r>
      <w:proofErr w:type="spellEnd"/>
      <w:r w:rsidR="00F146E7">
        <w:rPr>
          <w:b w:val="0"/>
          <w:szCs w:val="28"/>
        </w:rPr>
        <w:t xml:space="preserve">. Jest to </w:t>
      </w:r>
      <w:r w:rsidR="005A0880">
        <w:rPr>
          <w:b w:val="0"/>
          <w:szCs w:val="28"/>
        </w:rPr>
        <w:t>piasek średnio</w:t>
      </w:r>
      <w:r w:rsidR="00F146E7">
        <w:rPr>
          <w:b w:val="0"/>
          <w:szCs w:val="28"/>
        </w:rPr>
        <w:t xml:space="preserve"> zagęszczony</w:t>
      </w:r>
      <w:r w:rsidRPr="00CF6DA0">
        <w:rPr>
          <w:b w:val="0"/>
          <w:szCs w:val="28"/>
        </w:rPr>
        <w:t xml:space="preserve">, </w:t>
      </w:r>
      <w:r w:rsidR="00F146E7">
        <w:rPr>
          <w:b w:val="0"/>
          <w:szCs w:val="28"/>
        </w:rPr>
        <w:t>wilgo</w:t>
      </w:r>
      <w:r w:rsidR="005A0880">
        <w:rPr>
          <w:b w:val="0"/>
          <w:szCs w:val="28"/>
        </w:rPr>
        <w:t>t</w:t>
      </w:r>
      <w:r w:rsidR="00F146E7">
        <w:rPr>
          <w:b w:val="0"/>
          <w:szCs w:val="28"/>
        </w:rPr>
        <w:t>ny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</w:t>
      </w:r>
      <w:r w:rsidR="00F146E7">
        <w:rPr>
          <w:b w:val="0"/>
        </w:rPr>
        <w:t>m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5A0880">
        <w:rPr>
          <w:b w:val="0"/>
        </w:rPr>
        <w:t>44</w:t>
      </w:r>
      <w:r w:rsidRPr="00CF6DA0">
        <w:rPr>
          <w:b w:val="0"/>
        </w:rPr>
        <w:t>.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 xml:space="preserve"> 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B91D27" w:rsidRPr="00CF6DA0" w:rsidRDefault="00B91D27" w:rsidP="00B91D27">
      <w:pPr>
        <w:pStyle w:val="Tekstpodstawowy2"/>
        <w:rPr>
          <w:b w:val="0"/>
          <w:bCs w:val="0"/>
        </w:rPr>
      </w:pP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proofErr w:type="spellStart"/>
      <w:r w:rsidRPr="00B91D27">
        <w:rPr>
          <w:b w:val="0"/>
          <w:szCs w:val="28"/>
        </w:rPr>
        <w:t>w</w:t>
      </w:r>
      <w:r w:rsidRPr="00B91D27">
        <w:rPr>
          <w:b w:val="0"/>
          <w:szCs w:val="28"/>
          <w:vertAlign w:val="subscript"/>
        </w:rPr>
        <w:t>n</w:t>
      </w:r>
      <w:proofErr w:type="spellEnd"/>
      <w:r w:rsidRPr="00B91D27">
        <w:rPr>
          <w:b w:val="0"/>
          <w:szCs w:val="28"/>
        </w:rPr>
        <w:t xml:space="preserve"> = </w:t>
      </w:r>
      <w:r w:rsidR="009F751F">
        <w:rPr>
          <w:b w:val="0"/>
          <w:szCs w:val="28"/>
        </w:rPr>
        <w:t>1</w:t>
      </w:r>
      <w:r w:rsidR="00637403">
        <w:rPr>
          <w:b w:val="0"/>
          <w:szCs w:val="28"/>
        </w:rPr>
        <w:t>4</w:t>
      </w:r>
      <w:r w:rsidRPr="00B91D27">
        <w:rPr>
          <w:b w:val="0"/>
          <w:szCs w:val="28"/>
        </w:rPr>
        <w:t xml:space="preserve"> %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</w:rPr>
        <w:t xml:space="preserve"> = </w:t>
      </w:r>
      <w:r w:rsidR="00637403">
        <w:rPr>
          <w:b w:val="0"/>
          <w:szCs w:val="28"/>
        </w:rPr>
        <w:t>1</w:t>
      </w:r>
      <w:r w:rsidR="00890166">
        <w:rPr>
          <w:b w:val="0"/>
          <w:szCs w:val="28"/>
        </w:rPr>
        <w:t>,</w:t>
      </w:r>
      <w:r w:rsidR="00637403">
        <w:rPr>
          <w:b w:val="0"/>
          <w:szCs w:val="28"/>
        </w:rPr>
        <w:t>85</w:t>
      </w:r>
      <w:r w:rsidRPr="00B91D27">
        <w:rPr>
          <w:b w:val="0"/>
          <w:szCs w:val="28"/>
        </w:rPr>
        <w:t xml:space="preserve">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  <w:vertAlign w:val="subscript"/>
        </w:rPr>
        <w:t>s</w:t>
      </w:r>
      <w:r w:rsidRPr="00B91D27">
        <w:rPr>
          <w:b w:val="0"/>
          <w:szCs w:val="28"/>
        </w:rPr>
        <w:t xml:space="preserve"> = 2,65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B91D27">
        <w:rPr>
          <w:b w:val="0"/>
          <w:szCs w:val="28"/>
        </w:rPr>
        <w:t>I</w:t>
      </w:r>
      <w:r w:rsidR="00501C41">
        <w:rPr>
          <w:b w:val="0"/>
          <w:szCs w:val="28"/>
          <w:vertAlign w:val="subscript"/>
        </w:rPr>
        <w:t>D</w:t>
      </w:r>
      <w:r w:rsidRPr="00B91D27">
        <w:rPr>
          <w:b w:val="0"/>
          <w:szCs w:val="28"/>
        </w:rPr>
        <w:t xml:space="preserve"> </w:t>
      </w:r>
      <w:r w:rsidR="0073124A">
        <w:rPr>
          <w:b w:val="0"/>
          <w:szCs w:val="28"/>
        </w:rPr>
        <w:t>=</w:t>
      </w:r>
      <w:r w:rsidRPr="00B91D27">
        <w:rPr>
          <w:b w:val="0"/>
          <w:szCs w:val="28"/>
        </w:rPr>
        <w:t xml:space="preserve"> 0,</w:t>
      </w:r>
      <w:r w:rsidR="00637403">
        <w:rPr>
          <w:b w:val="0"/>
          <w:szCs w:val="28"/>
        </w:rPr>
        <w:t>44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lastRenderedPageBreak/>
        <w:sym w:font="Symbol" w:char="F06A"/>
      </w:r>
      <w:r w:rsidRPr="00CF6DA0">
        <w:rPr>
          <w:b w:val="0"/>
          <w:szCs w:val="28"/>
        </w:rPr>
        <w:t xml:space="preserve"> = </w:t>
      </w:r>
      <w:r w:rsidR="0073124A">
        <w:rPr>
          <w:b w:val="0"/>
          <w:szCs w:val="28"/>
        </w:rPr>
        <w:t>3</w:t>
      </w:r>
      <w:r w:rsidR="00637403">
        <w:rPr>
          <w:b w:val="0"/>
          <w:szCs w:val="28"/>
        </w:rPr>
        <w:t>2</w:t>
      </w:r>
      <w:r w:rsidRPr="00CF6DA0">
        <w:rPr>
          <w:b w:val="0"/>
          <w:szCs w:val="28"/>
        </w:rPr>
        <w:t>,</w:t>
      </w:r>
      <w:r w:rsidR="00637403">
        <w:rPr>
          <w:b w:val="0"/>
          <w:szCs w:val="28"/>
        </w:rPr>
        <w:t>6</w:t>
      </w:r>
      <w:r w:rsidRPr="00CF6DA0">
        <w:rPr>
          <w:b w:val="0"/>
          <w:szCs w:val="28"/>
          <w:vertAlign w:val="superscript"/>
        </w:rPr>
        <w:t>o</w:t>
      </w:r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637403">
        <w:rPr>
          <w:sz w:val="28"/>
          <w:szCs w:val="28"/>
        </w:rPr>
        <w:t>85200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637403">
        <w:rPr>
          <w:sz w:val="28"/>
          <w:szCs w:val="28"/>
        </w:rPr>
        <w:t>94667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637403">
        <w:rPr>
          <w:sz w:val="28"/>
          <w:szCs w:val="28"/>
        </w:rPr>
        <w:t>71907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252E8E" w:rsidRDefault="00252E8E">
      <w:pPr>
        <w:pStyle w:val="Tekstpodstawowy2"/>
        <w:rPr>
          <w:b w:val="0"/>
          <w:bCs w:val="0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t>I</w:t>
      </w:r>
      <w:r>
        <w:t>I</w:t>
      </w:r>
      <w:r w:rsidRPr="00880230">
        <w:t xml:space="preserve"> warstwa geotechniczna – </w:t>
      </w:r>
      <w:r>
        <w:t>glina</w:t>
      </w:r>
      <w:r w:rsidRPr="00880230">
        <w:rPr>
          <w:b w:val="0"/>
        </w:rPr>
        <w:t xml:space="preserve">, </w:t>
      </w:r>
      <w:r>
        <w:rPr>
          <w:b w:val="0"/>
        </w:rPr>
        <w:t xml:space="preserve">czerwonawa, </w:t>
      </w:r>
      <w:r w:rsidRPr="00880230">
        <w:rPr>
          <w:b w:val="0"/>
        </w:rPr>
        <w:t>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piasków  w otworze nr 3/02/14 do </w:t>
      </w:r>
      <w:proofErr w:type="spellStart"/>
      <w:r>
        <w:rPr>
          <w:b w:val="0"/>
        </w:rPr>
        <w:t>głebokości</w:t>
      </w:r>
      <w:proofErr w:type="spellEnd"/>
      <w:r>
        <w:rPr>
          <w:b w:val="0"/>
        </w:rPr>
        <w:t xml:space="preserve"> ok. 1,80 m </w:t>
      </w:r>
      <w:proofErr w:type="spellStart"/>
      <w:r>
        <w:rPr>
          <w:b w:val="0"/>
        </w:rPr>
        <w:t>p.p.t</w:t>
      </w:r>
      <w:proofErr w:type="spellEnd"/>
      <w:r>
        <w:rPr>
          <w:b w:val="0"/>
        </w:rPr>
        <w:t xml:space="preserve">. oraz w otworze nr 1/02/14 </w:t>
      </w:r>
      <w:r w:rsidRPr="00880230">
        <w:rPr>
          <w:b w:val="0"/>
        </w:rPr>
        <w:t xml:space="preserve">do głębokości </w:t>
      </w:r>
      <w:r>
        <w:rPr>
          <w:b w:val="0"/>
        </w:rPr>
        <w:t xml:space="preserve">stwierdzonej wierceniem tj. </w:t>
      </w:r>
      <w:r w:rsidRPr="00880230">
        <w:rPr>
          <w:b w:val="0"/>
        </w:rPr>
        <w:t xml:space="preserve">ok. </w:t>
      </w:r>
      <w:r>
        <w:rPr>
          <w:b w:val="0"/>
        </w:rPr>
        <w:t xml:space="preserve">5,00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0,04.</w:t>
      </w:r>
      <w:r w:rsidRPr="00880230">
        <w:rPr>
          <w:b w:val="0"/>
        </w:rPr>
        <w:t xml:space="preserve"> 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FD3404" w:rsidRPr="00880230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16</w:t>
      </w:r>
      <w:r w:rsidRPr="00880230">
        <w:rPr>
          <w:b w:val="0"/>
          <w:szCs w:val="28"/>
          <w:lang w:val="en-US"/>
        </w:rPr>
        <w:t xml:space="preserve"> %</w:t>
      </w:r>
    </w:p>
    <w:p w:rsidR="00FD3404" w:rsidRPr="00880230" w:rsidRDefault="00FD3404" w:rsidP="00FD3404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FD3404" w:rsidRPr="002E5D61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2,67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FD3404" w:rsidRPr="00C77DCC" w:rsidRDefault="00FD3404" w:rsidP="00FD3404">
      <w:pPr>
        <w:pStyle w:val="Tekstpodstawowy2"/>
        <w:rPr>
          <w:b w:val="0"/>
          <w:bCs w:val="0"/>
          <w:szCs w:val="28"/>
        </w:rPr>
      </w:pPr>
      <w:r w:rsidRPr="00C77DCC">
        <w:rPr>
          <w:b w:val="0"/>
          <w:szCs w:val="28"/>
        </w:rPr>
        <w:t>I</w:t>
      </w:r>
      <w:r w:rsidRPr="00C77DCC">
        <w:rPr>
          <w:b w:val="0"/>
          <w:szCs w:val="28"/>
          <w:vertAlign w:val="subscript"/>
        </w:rPr>
        <w:t>L</w:t>
      </w:r>
      <w:r w:rsidRPr="00C77DCC">
        <w:rPr>
          <w:b w:val="0"/>
          <w:szCs w:val="28"/>
        </w:rPr>
        <w:t xml:space="preserve"> = 0,</w:t>
      </w:r>
      <w:r w:rsidR="00C77DCC" w:rsidRPr="00C77DCC">
        <w:rPr>
          <w:b w:val="0"/>
          <w:szCs w:val="28"/>
        </w:rPr>
        <w:t>04</w:t>
      </w:r>
    </w:p>
    <w:p w:rsidR="00FD3404" w:rsidRPr="00C77DCC" w:rsidRDefault="00FD3404" w:rsidP="00FD3404">
      <w:pPr>
        <w:pStyle w:val="Tekstpodstawowy2"/>
        <w:rPr>
          <w:b w:val="0"/>
          <w:bCs w:val="0"/>
          <w:szCs w:val="28"/>
        </w:rPr>
      </w:pPr>
      <w:proofErr w:type="spellStart"/>
      <w:r w:rsidRPr="00C77DCC">
        <w:rPr>
          <w:b w:val="0"/>
          <w:szCs w:val="28"/>
        </w:rPr>
        <w:t>c</w:t>
      </w:r>
      <w:r w:rsidRPr="00C77DCC">
        <w:rPr>
          <w:b w:val="0"/>
          <w:szCs w:val="28"/>
          <w:vertAlign w:val="subscript"/>
        </w:rPr>
        <w:t>u</w:t>
      </w:r>
      <w:proofErr w:type="spellEnd"/>
      <w:r w:rsidRPr="00C77DCC">
        <w:rPr>
          <w:b w:val="0"/>
          <w:szCs w:val="28"/>
        </w:rPr>
        <w:t xml:space="preserve"> = 3</w:t>
      </w:r>
      <w:r w:rsidR="00C77DCC" w:rsidRPr="00C77DCC">
        <w:rPr>
          <w:b w:val="0"/>
          <w:szCs w:val="28"/>
        </w:rPr>
        <w:t>8</w:t>
      </w:r>
      <w:r w:rsidRPr="00C77DCC">
        <w:rPr>
          <w:b w:val="0"/>
          <w:szCs w:val="28"/>
        </w:rPr>
        <w:t>,</w:t>
      </w:r>
      <w:r w:rsidR="00C77DCC" w:rsidRPr="00C77DCC">
        <w:rPr>
          <w:b w:val="0"/>
          <w:szCs w:val="28"/>
        </w:rPr>
        <w:t>11</w:t>
      </w:r>
      <w:r w:rsidRPr="00C77DCC">
        <w:rPr>
          <w:b w:val="0"/>
          <w:szCs w:val="28"/>
        </w:rPr>
        <w:t xml:space="preserve"> </w:t>
      </w:r>
      <w:proofErr w:type="spellStart"/>
      <w:r w:rsidRPr="00C77DCC">
        <w:rPr>
          <w:b w:val="0"/>
          <w:szCs w:val="28"/>
        </w:rPr>
        <w:t>kPa</w:t>
      </w:r>
      <w:proofErr w:type="spellEnd"/>
    </w:p>
    <w:p w:rsidR="00FD3404" w:rsidRPr="00880230" w:rsidRDefault="00FD3404" w:rsidP="00FD340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</w:t>
      </w:r>
      <w:r w:rsidR="00C77DCC">
        <w:rPr>
          <w:b w:val="0"/>
          <w:szCs w:val="28"/>
        </w:rPr>
        <w:t>1</w:t>
      </w:r>
      <w:r w:rsidRPr="00880230">
        <w:rPr>
          <w:b w:val="0"/>
          <w:szCs w:val="28"/>
        </w:rPr>
        <w:t>,</w:t>
      </w:r>
      <w:r w:rsidR="00C77DCC"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FD3404" w:rsidRPr="00880230" w:rsidRDefault="00FD3404" w:rsidP="00FD340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C77DCC">
        <w:rPr>
          <w:sz w:val="28"/>
          <w:szCs w:val="28"/>
        </w:rPr>
        <w:t>57586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D3404" w:rsidRPr="00880230" w:rsidRDefault="00FD3404" w:rsidP="00FD340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C77DCC">
        <w:rPr>
          <w:sz w:val="28"/>
          <w:szCs w:val="28"/>
        </w:rPr>
        <w:t>76762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D3404" w:rsidRDefault="00FD3404" w:rsidP="00FD3404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C77DCC">
        <w:rPr>
          <w:sz w:val="28"/>
          <w:szCs w:val="28"/>
        </w:rPr>
        <w:t>43765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60D4E" w:rsidRDefault="00F60D4E" w:rsidP="00FD3404">
      <w:pPr>
        <w:jc w:val="both"/>
        <w:rPr>
          <w:sz w:val="28"/>
          <w:szCs w:val="28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t>I</w:t>
      </w:r>
      <w:r w:rsidR="00F60D4E">
        <w:t>II</w:t>
      </w:r>
      <w:r w:rsidRPr="00880230">
        <w:t xml:space="preserve"> warstwa geotechniczna – </w:t>
      </w:r>
      <w:r>
        <w:t>glina</w:t>
      </w:r>
      <w:r w:rsidR="00F60D4E">
        <w:t xml:space="preserve"> pylasta</w:t>
      </w:r>
      <w:r w:rsidRPr="00880230">
        <w:rPr>
          <w:b w:val="0"/>
        </w:rPr>
        <w:t xml:space="preserve">, </w:t>
      </w:r>
      <w:r w:rsidR="00F60D4E">
        <w:rPr>
          <w:b w:val="0"/>
        </w:rPr>
        <w:t xml:space="preserve">żółta z przewarstwieniami piasku średniego oraz  z </w:t>
      </w:r>
      <w:r>
        <w:rPr>
          <w:b w:val="0"/>
        </w:rPr>
        <w:t xml:space="preserve">okruchami </w:t>
      </w:r>
      <w:r w:rsidR="00F60D4E">
        <w:rPr>
          <w:b w:val="0"/>
        </w:rPr>
        <w:t>kamienia</w:t>
      </w:r>
      <w:r>
        <w:rPr>
          <w:b w:val="0"/>
        </w:rPr>
        <w:t xml:space="preserve"> </w:t>
      </w:r>
      <w:r w:rsidRPr="00880230">
        <w:rPr>
          <w:b w:val="0"/>
        </w:rPr>
        <w:t>zalegając</w:t>
      </w:r>
      <w:r>
        <w:rPr>
          <w:b w:val="0"/>
        </w:rPr>
        <w:t>a</w:t>
      </w:r>
      <w:r w:rsidRPr="00880230">
        <w:rPr>
          <w:b w:val="0"/>
        </w:rPr>
        <w:t xml:space="preserve"> w przedmiotowym terenie poniżej warstwy </w:t>
      </w:r>
      <w:r>
        <w:rPr>
          <w:b w:val="0"/>
        </w:rPr>
        <w:t xml:space="preserve">piasków  </w:t>
      </w:r>
      <w:r w:rsidR="00F60D4E">
        <w:rPr>
          <w:b w:val="0"/>
        </w:rPr>
        <w:t xml:space="preserve">i nasypu w otworach nr 2/02/14 i 4/02/14 </w:t>
      </w:r>
      <w:r w:rsidRPr="00880230">
        <w:rPr>
          <w:b w:val="0"/>
        </w:rPr>
        <w:t xml:space="preserve">do głębokości ok. </w:t>
      </w:r>
      <w:r w:rsidR="00F60D4E">
        <w:rPr>
          <w:b w:val="0"/>
        </w:rPr>
        <w:t>2,0</w:t>
      </w:r>
      <w:r>
        <w:rPr>
          <w:b w:val="0"/>
        </w:rPr>
        <w:t xml:space="preserve">0 i 2,50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 w:rsidR="00F60D4E">
        <w:rPr>
          <w:b w:val="0"/>
        </w:rPr>
        <w:br/>
      </w:r>
      <w:r w:rsidRPr="00880230">
        <w:rPr>
          <w:b w:val="0"/>
        </w:rPr>
        <w:t>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0,10.</w:t>
      </w:r>
      <w:r w:rsidRPr="00880230">
        <w:rPr>
          <w:b w:val="0"/>
        </w:rPr>
        <w:t xml:space="preserve"> 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FD3404" w:rsidRPr="00880230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367341">
        <w:rPr>
          <w:b w:val="0"/>
          <w:szCs w:val="28"/>
          <w:lang w:val="en-US"/>
        </w:rPr>
        <w:t>20</w:t>
      </w:r>
      <w:r w:rsidRPr="00880230">
        <w:rPr>
          <w:b w:val="0"/>
          <w:szCs w:val="28"/>
          <w:lang w:val="en-US"/>
        </w:rPr>
        <w:t xml:space="preserve"> %</w:t>
      </w:r>
    </w:p>
    <w:p w:rsidR="00FD3404" w:rsidRPr="00880230" w:rsidRDefault="00FD3404" w:rsidP="00FD3404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>
        <w:rPr>
          <w:b w:val="0"/>
          <w:szCs w:val="28"/>
          <w:lang w:val="en-US"/>
        </w:rPr>
        <w:t>1</w:t>
      </w:r>
      <w:r w:rsidR="00367341">
        <w:rPr>
          <w:b w:val="0"/>
          <w:szCs w:val="28"/>
          <w:lang w:val="en-US"/>
        </w:rPr>
        <w:t>0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FD3404" w:rsidRPr="002E5D61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367341">
        <w:rPr>
          <w:b w:val="0"/>
          <w:szCs w:val="28"/>
          <w:lang w:val="en-US"/>
        </w:rPr>
        <w:t>8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FD3404" w:rsidRPr="00C97CCD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I</w:t>
      </w:r>
      <w:r w:rsidRPr="00C97CCD">
        <w:rPr>
          <w:b w:val="0"/>
          <w:szCs w:val="28"/>
          <w:vertAlign w:val="subscript"/>
          <w:lang w:val="en-US"/>
        </w:rPr>
        <w:t>L</w:t>
      </w:r>
      <w:r w:rsidRPr="00C97CCD">
        <w:rPr>
          <w:b w:val="0"/>
          <w:szCs w:val="28"/>
          <w:lang w:val="en-US"/>
        </w:rPr>
        <w:t xml:space="preserve"> = 0,10</w:t>
      </w:r>
    </w:p>
    <w:p w:rsidR="00FD3404" w:rsidRPr="00C97CCD" w:rsidRDefault="00FD3404" w:rsidP="00FD3404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c</w:t>
      </w:r>
      <w:r w:rsidRPr="00C97CCD">
        <w:rPr>
          <w:b w:val="0"/>
          <w:szCs w:val="28"/>
          <w:vertAlign w:val="subscript"/>
          <w:lang w:val="en-US"/>
        </w:rPr>
        <w:t>u</w:t>
      </w:r>
      <w:r w:rsidRPr="00C97CCD">
        <w:rPr>
          <w:b w:val="0"/>
          <w:szCs w:val="28"/>
          <w:lang w:val="en-US"/>
        </w:rPr>
        <w:t xml:space="preserve"> = 35,48 </w:t>
      </w:r>
      <w:proofErr w:type="spellStart"/>
      <w:r w:rsidRPr="00C97CCD">
        <w:rPr>
          <w:b w:val="0"/>
          <w:szCs w:val="28"/>
          <w:lang w:val="en-US"/>
        </w:rPr>
        <w:t>kPa</w:t>
      </w:r>
      <w:proofErr w:type="spellEnd"/>
    </w:p>
    <w:p w:rsidR="00FD3404" w:rsidRPr="00880230" w:rsidRDefault="00FD3404" w:rsidP="00FD340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FD3404" w:rsidRPr="00880230" w:rsidRDefault="00FD3404" w:rsidP="00FD340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367341">
        <w:rPr>
          <w:sz w:val="28"/>
          <w:szCs w:val="28"/>
        </w:rPr>
        <w:t>48089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D3404" w:rsidRPr="00880230" w:rsidRDefault="00FD3404" w:rsidP="00FD340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367341">
        <w:rPr>
          <w:sz w:val="28"/>
          <w:szCs w:val="28"/>
        </w:rPr>
        <w:t>64102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D3404" w:rsidRDefault="00FD3404" w:rsidP="00FD3404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367341">
        <w:rPr>
          <w:sz w:val="28"/>
          <w:szCs w:val="28"/>
        </w:rPr>
        <w:t>36547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F67912" w:rsidRDefault="00F67912" w:rsidP="00FD3404">
      <w:pPr>
        <w:jc w:val="both"/>
        <w:rPr>
          <w:sz w:val="28"/>
          <w:szCs w:val="28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lastRenderedPageBreak/>
        <w:t>I</w:t>
      </w:r>
      <w:r>
        <w:t>V</w:t>
      </w:r>
      <w:r w:rsidRPr="00880230">
        <w:t xml:space="preserve"> warstwa geotechniczna – </w:t>
      </w:r>
      <w:r w:rsidR="00F67912">
        <w:t>rumosz wapienia</w:t>
      </w:r>
      <w:r w:rsidRPr="00880230">
        <w:rPr>
          <w:b w:val="0"/>
        </w:rPr>
        <w:t>, zalegając</w:t>
      </w:r>
      <w:r w:rsidR="00F67912"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piasków </w:t>
      </w:r>
      <w:r w:rsidR="00F67912">
        <w:rPr>
          <w:b w:val="0"/>
        </w:rPr>
        <w:t>i gliny</w:t>
      </w:r>
      <w:r>
        <w:rPr>
          <w:b w:val="0"/>
        </w:rPr>
        <w:t xml:space="preserve"> </w:t>
      </w:r>
      <w:r w:rsidR="00F67912">
        <w:rPr>
          <w:b w:val="0"/>
        </w:rPr>
        <w:t xml:space="preserve">z wyjątkiem otworu 2/02/014 </w:t>
      </w:r>
      <w:r w:rsidRPr="00880230">
        <w:rPr>
          <w:b w:val="0"/>
        </w:rPr>
        <w:t xml:space="preserve">do głębokości ok. </w:t>
      </w:r>
      <w:r w:rsidR="00F67912">
        <w:rPr>
          <w:b w:val="0"/>
        </w:rPr>
        <w:t>2</w:t>
      </w:r>
      <w:r>
        <w:rPr>
          <w:b w:val="0"/>
        </w:rPr>
        <w:t>,</w:t>
      </w:r>
      <w:r w:rsidR="00F67912">
        <w:rPr>
          <w:b w:val="0"/>
        </w:rPr>
        <w:t>20 ~ 3</w:t>
      </w:r>
      <w:r>
        <w:rPr>
          <w:b w:val="0"/>
        </w:rPr>
        <w:t>,</w:t>
      </w:r>
      <w:r w:rsidR="00F67912">
        <w:rPr>
          <w:b w:val="0"/>
        </w:rPr>
        <w:t>0</w:t>
      </w:r>
      <w:r>
        <w:rPr>
          <w:b w:val="0"/>
        </w:rPr>
        <w:t xml:space="preserve">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F67912">
        <w:rPr>
          <w:b w:val="0"/>
        </w:rPr>
        <w:t>rumosz półzwarty</w:t>
      </w:r>
      <w:r w:rsidRPr="00880230">
        <w:rPr>
          <w:b w:val="0"/>
        </w:rPr>
        <w:t>, wilgotn</w:t>
      </w:r>
      <w:r w:rsidR="00F67912">
        <w:rPr>
          <w:b w:val="0"/>
        </w:rPr>
        <w:t>y</w:t>
      </w:r>
      <w:r w:rsidRPr="00880230">
        <w:rPr>
          <w:b w:val="0"/>
        </w:rPr>
        <w:t xml:space="preserve"> w któr</w:t>
      </w:r>
      <w:r w:rsidR="00F67912">
        <w:rPr>
          <w:b w:val="0"/>
        </w:rPr>
        <w:t>ym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 w:rsidR="00F67912">
        <w:rPr>
          <w:b w:val="0"/>
        </w:rPr>
        <w:t>&lt; 0,00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FD3404" w:rsidRPr="00880230" w:rsidRDefault="00FD3404" w:rsidP="00FD3404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FD3404" w:rsidRPr="00880230" w:rsidRDefault="00FD3404" w:rsidP="00FD3404">
      <w:pPr>
        <w:pStyle w:val="Tekstpodstawowy2"/>
        <w:rPr>
          <w:b w:val="0"/>
        </w:rPr>
      </w:pPr>
    </w:p>
    <w:p w:rsidR="005E0D28" w:rsidRPr="005E0D28" w:rsidRDefault="005E0D28" w:rsidP="005E0D28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5E0D28">
        <w:rPr>
          <w:b w:val="0"/>
          <w:szCs w:val="28"/>
          <w:lang w:val="en-US"/>
        </w:rPr>
        <w:t>w</w:t>
      </w:r>
      <w:r w:rsidRPr="005E0D28">
        <w:rPr>
          <w:b w:val="0"/>
          <w:szCs w:val="28"/>
          <w:vertAlign w:val="subscript"/>
          <w:lang w:val="en-US"/>
        </w:rPr>
        <w:t>n</w:t>
      </w:r>
      <w:proofErr w:type="spellEnd"/>
      <w:r w:rsidRPr="005E0D28">
        <w:rPr>
          <w:b w:val="0"/>
          <w:szCs w:val="28"/>
          <w:lang w:val="en-US"/>
        </w:rPr>
        <w:t xml:space="preserve"> = 9 %</w:t>
      </w:r>
    </w:p>
    <w:p w:rsidR="005E0D28" w:rsidRPr="005E0D28" w:rsidRDefault="005E0D28" w:rsidP="005E0D28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5E0D28">
        <w:rPr>
          <w:b w:val="0"/>
          <w:szCs w:val="28"/>
        </w:rPr>
        <w:sym w:font="Symbol" w:char="F072"/>
      </w:r>
      <w:r w:rsidRPr="005E0D28">
        <w:rPr>
          <w:b w:val="0"/>
          <w:szCs w:val="28"/>
          <w:lang w:val="en-US"/>
        </w:rPr>
        <w:t xml:space="preserve"> = 2,20 t/m</w:t>
      </w:r>
      <w:r w:rsidRPr="005E0D28">
        <w:rPr>
          <w:b w:val="0"/>
          <w:szCs w:val="28"/>
          <w:vertAlign w:val="superscript"/>
          <w:lang w:val="en-US"/>
        </w:rPr>
        <w:t>3</w:t>
      </w:r>
    </w:p>
    <w:p w:rsidR="005E0D28" w:rsidRPr="005E0D28" w:rsidRDefault="005E0D28" w:rsidP="005E0D28">
      <w:pPr>
        <w:pStyle w:val="Tekstpodstawowy2"/>
        <w:rPr>
          <w:b w:val="0"/>
          <w:bCs w:val="0"/>
          <w:szCs w:val="28"/>
          <w:lang w:val="en-US"/>
        </w:rPr>
      </w:pPr>
      <w:r w:rsidRPr="005E0D28">
        <w:rPr>
          <w:b w:val="0"/>
          <w:szCs w:val="28"/>
        </w:rPr>
        <w:sym w:font="Symbol" w:char="F072"/>
      </w:r>
      <w:r w:rsidRPr="005E0D28">
        <w:rPr>
          <w:b w:val="0"/>
          <w:szCs w:val="28"/>
          <w:vertAlign w:val="subscript"/>
          <w:lang w:val="en-US"/>
        </w:rPr>
        <w:t>s</w:t>
      </w:r>
      <w:r w:rsidRPr="005E0D28">
        <w:rPr>
          <w:b w:val="0"/>
          <w:szCs w:val="28"/>
          <w:lang w:val="en-US"/>
        </w:rPr>
        <w:t xml:space="preserve"> = 2,65 t/m</w:t>
      </w:r>
      <w:r w:rsidRPr="005E0D28">
        <w:rPr>
          <w:b w:val="0"/>
          <w:szCs w:val="28"/>
          <w:vertAlign w:val="superscript"/>
          <w:lang w:val="en-US"/>
        </w:rPr>
        <w:t>3</w:t>
      </w:r>
    </w:p>
    <w:p w:rsidR="005E0D28" w:rsidRPr="005E0D28" w:rsidRDefault="005E0D28" w:rsidP="005E0D28">
      <w:pPr>
        <w:pStyle w:val="Tekstpodstawowy2"/>
        <w:rPr>
          <w:b w:val="0"/>
          <w:bCs w:val="0"/>
          <w:szCs w:val="28"/>
          <w:lang w:val="en-US"/>
        </w:rPr>
      </w:pPr>
      <w:r w:rsidRPr="005E0D28">
        <w:rPr>
          <w:b w:val="0"/>
          <w:szCs w:val="28"/>
          <w:lang w:val="en-US"/>
        </w:rPr>
        <w:t>I</w:t>
      </w:r>
      <w:r w:rsidRPr="005E0D28">
        <w:rPr>
          <w:b w:val="0"/>
          <w:szCs w:val="28"/>
          <w:vertAlign w:val="subscript"/>
          <w:lang w:val="en-US"/>
        </w:rPr>
        <w:t>L</w:t>
      </w:r>
      <w:r w:rsidRPr="005E0D28">
        <w:rPr>
          <w:b w:val="0"/>
          <w:szCs w:val="28"/>
          <w:lang w:val="en-US"/>
        </w:rPr>
        <w:t xml:space="preserve"> &lt; 0,00</w:t>
      </w:r>
    </w:p>
    <w:p w:rsidR="005E0D28" w:rsidRPr="005E0D28" w:rsidRDefault="005E0D28" w:rsidP="005E0D28">
      <w:pPr>
        <w:pStyle w:val="Tekstpodstawowy2"/>
        <w:rPr>
          <w:b w:val="0"/>
          <w:bCs w:val="0"/>
          <w:szCs w:val="28"/>
          <w:lang w:val="en-US"/>
        </w:rPr>
      </w:pPr>
      <w:r w:rsidRPr="005E0D28">
        <w:rPr>
          <w:b w:val="0"/>
          <w:szCs w:val="28"/>
          <w:lang w:val="en-US"/>
        </w:rPr>
        <w:t>c</w:t>
      </w:r>
      <w:r w:rsidRPr="005E0D28">
        <w:rPr>
          <w:b w:val="0"/>
          <w:szCs w:val="28"/>
          <w:vertAlign w:val="subscript"/>
          <w:lang w:val="en-US"/>
        </w:rPr>
        <w:t>u</w:t>
      </w:r>
      <w:r w:rsidRPr="005E0D28">
        <w:rPr>
          <w:b w:val="0"/>
          <w:szCs w:val="28"/>
          <w:lang w:val="en-US"/>
        </w:rPr>
        <w:t xml:space="preserve"> = 40,0 </w:t>
      </w:r>
      <w:proofErr w:type="spellStart"/>
      <w:r w:rsidRPr="005E0D28">
        <w:rPr>
          <w:b w:val="0"/>
          <w:szCs w:val="28"/>
          <w:lang w:val="en-US"/>
        </w:rPr>
        <w:t>kPa</w:t>
      </w:r>
      <w:proofErr w:type="spellEnd"/>
    </w:p>
    <w:p w:rsidR="005E0D28" w:rsidRPr="005E0D28" w:rsidRDefault="005E0D28" w:rsidP="005E0D28">
      <w:pPr>
        <w:pStyle w:val="Tekstpodstawowy2"/>
        <w:rPr>
          <w:b w:val="0"/>
          <w:bCs w:val="0"/>
          <w:szCs w:val="28"/>
        </w:rPr>
      </w:pPr>
      <w:r w:rsidRPr="005E0D28">
        <w:rPr>
          <w:b w:val="0"/>
          <w:szCs w:val="28"/>
        </w:rPr>
        <w:sym w:font="Symbol" w:char="F06A"/>
      </w:r>
      <w:r w:rsidRPr="005E0D28">
        <w:rPr>
          <w:b w:val="0"/>
          <w:szCs w:val="28"/>
        </w:rPr>
        <w:t xml:space="preserve"> = 22,0</w:t>
      </w:r>
      <w:r w:rsidRPr="005E0D28">
        <w:rPr>
          <w:b w:val="0"/>
          <w:szCs w:val="28"/>
          <w:vertAlign w:val="superscript"/>
        </w:rPr>
        <w:t>o</w:t>
      </w:r>
    </w:p>
    <w:p w:rsidR="005E0D28" w:rsidRPr="005E0D28" w:rsidRDefault="005E0D28" w:rsidP="005E0D28">
      <w:pPr>
        <w:jc w:val="both"/>
        <w:rPr>
          <w:sz w:val="28"/>
          <w:szCs w:val="28"/>
        </w:rPr>
      </w:pPr>
      <w:r w:rsidRPr="005E0D28">
        <w:rPr>
          <w:sz w:val="28"/>
          <w:szCs w:val="28"/>
        </w:rPr>
        <w:t>M</w:t>
      </w:r>
      <w:r w:rsidRPr="005E0D28">
        <w:rPr>
          <w:sz w:val="28"/>
          <w:szCs w:val="28"/>
          <w:vertAlign w:val="subscript"/>
        </w:rPr>
        <w:t>o</w:t>
      </w:r>
      <w:r w:rsidRPr="005E0D28">
        <w:rPr>
          <w:sz w:val="28"/>
          <w:szCs w:val="28"/>
        </w:rPr>
        <w:t xml:space="preserve"> = 65768 </w:t>
      </w:r>
      <w:proofErr w:type="spellStart"/>
      <w:r w:rsidRPr="005E0D28">
        <w:rPr>
          <w:sz w:val="28"/>
          <w:szCs w:val="28"/>
        </w:rPr>
        <w:t>kPa</w:t>
      </w:r>
      <w:proofErr w:type="spellEnd"/>
    </w:p>
    <w:p w:rsidR="005E0D28" w:rsidRDefault="005E0D28" w:rsidP="005E0D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5E0D28" w:rsidRPr="00F62B10" w:rsidRDefault="005E0D28" w:rsidP="005E0D2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FD3404" w:rsidRDefault="00FD3404">
      <w:pPr>
        <w:pStyle w:val="Tekstpodstawowy2"/>
        <w:rPr>
          <w:b w:val="0"/>
          <w:bCs w:val="0"/>
        </w:rPr>
      </w:pPr>
    </w:p>
    <w:p w:rsidR="00040FB1" w:rsidRPr="00880230" w:rsidRDefault="00040FB1" w:rsidP="00040FB1">
      <w:pPr>
        <w:pStyle w:val="Tekstpodstawowy2"/>
        <w:rPr>
          <w:b w:val="0"/>
        </w:rPr>
      </w:pPr>
      <w:r>
        <w:t>V</w:t>
      </w:r>
      <w:r w:rsidRPr="00880230">
        <w:t xml:space="preserve"> warstwa geotechniczna – </w:t>
      </w:r>
      <w:r>
        <w:t>lita skała wapienia</w:t>
      </w:r>
      <w:r w:rsidRPr="00880230">
        <w:rPr>
          <w:b w:val="0"/>
        </w:rPr>
        <w:t>, 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gliny z wyjątkiem otworu 2/02/014 </w:t>
      </w:r>
      <w:r w:rsidRPr="00880230">
        <w:rPr>
          <w:b w:val="0"/>
        </w:rPr>
        <w:t>do głębokości</w:t>
      </w:r>
      <w:r>
        <w:rPr>
          <w:b w:val="0"/>
        </w:rPr>
        <w:t xml:space="preserve"> stwierdzonej wierceniem</w:t>
      </w:r>
      <w:r w:rsidRPr="00880230">
        <w:rPr>
          <w:b w:val="0"/>
        </w:rPr>
        <w:t xml:space="preserve"> </w:t>
      </w:r>
      <w:r>
        <w:rPr>
          <w:b w:val="0"/>
        </w:rPr>
        <w:t xml:space="preserve">tj. </w:t>
      </w:r>
      <w:r w:rsidRPr="00880230">
        <w:rPr>
          <w:b w:val="0"/>
        </w:rPr>
        <w:t xml:space="preserve">ok. </w:t>
      </w:r>
      <w:r>
        <w:rPr>
          <w:b w:val="0"/>
        </w:rPr>
        <w:t xml:space="preserve">5,00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</w:t>
      </w:r>
    </w:p>
    <w:p w:rsidR="00040FB1" w:rsidRDefault="00040FB1">
      <w:pPr>
        <w:pStyle w:val="Tekstpodstawowy2"/>
        <w:rPr>
          <w:b w:val="0"/>
          <w:bCs w:val="0"/>
        </w:rPr>
      </w:pPr>
    </w:p>
    <w:p w:rsidR="00AF552C" w:rsidRDefault="003B1D5E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73E58" w:rsidRDefault="00573E58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5A0880">
        <w:rPr>
          <w:sz w:val="28"/>
        </w:rPr>
        <w:t xml:space="preserve">nasyp niekontrolowany, czarny (piasek </w:t>
      </w:r>
      <w:r w:rsidR="005A0880">
        <w:rPr>
          <w:sz w:val="28"/>
        </w:rPr>
        <w:br/>
        <w:t xml:space="preserve">i glina), piasek średni, żółty, średnio zagęszczony, wilgotny, glina czerwonawa, twardoplastyczna, wilgotna, glin pylasta z przewarstwieniami piasku i z okruchami kamienia, twardoplastyczna, wilgotna, rumosz wapienia, półzwarty, wilgotny, lita skała wapienia. </w:t>
      </w:r>
      <w:r w:rsidRPr="002F10A9">
        <w:rPr>
          <w:sz w:val="28"/>
        </w:rPr>
        <w:t xml:space="preserve">Zaleganie tych utworów stwierdzono do głębokości </w:t>
      </w:r>
      <w:r w:rsidR="005A0880">
        <w:rPr>
          <w:sz w:val="28"/>
        </w:rPr>
        <w:t>5</w:t>
      </w:r>
      <w:r w:rsidRPr="002F10A9">
        <w:rPr>
          <w:sz w:val="28"/>
        </w:rPr>
        <w:t>,</w:t>
      </w:r>
      <w:r w:rsidR="00763F0F">
        <w:rPr>
          <w:sz w:val="28"/>
        </w:rPr>
        <w:t>0</w:t>
      </w:r>
      <w:r w:rsidRPr="002F10A9">
        <w:rPr>
          <w:sz w:val="28"/>
        </w:rPr>
        <w:t xml:space="preserve">0 m </w:t>
      </w:r>
      <w:proofErr w:type="spellStart"/>
      <w:r w:rsidRPr="002F10A9">
        <w:rPr>
          <w:sz w:val="28"/>
        </w:rPr>
        <w:t>p.</w:t>
      </w:r>
      <w:r w:rsidR="00DF66D1">
        <w:rPr>
          <w:sz w:val="28"/>
        </w:rPr>
        <w:t>p</w:t>
      </w:r>
      <w:r w:rsidRPr="002F10A9">
        <w:rPr>
          <w:sz w:val="28"/>
        </w:rPr>
        <w:t>.t</w:t>
      </w:r>
      <w:proofErr w:type="spellEnd"/>
      <w:r w:rsidRPr="002F10A9">
        <w:rPr>
          <w:sz w:val="28"/>
        </w:rPr>
        <w:t xml:space="preserve">. 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3B1D5E" w:rsidRPr="003B1D5E" w:rsidRDefault="003B1D5E" w:rsidP="003B1D5E">
      <w:pPr>
        <w:pStyle w:val="Akapitzlist"/>
        <w:rPr>
          <w:b/>
          <w:sz w:val="28"/>
        </w:rPr>
      </w:pPr>
    </w:p>
    <w:p w:rsidR="003B1D5E" w:rsidRDefault="003B1D5E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Posadowienie obiektów budowlanych należy wykonać na płytach fundamentowych.</w:t>
      </w:r>
    </w:p>
    <w:p w:rsidR="003B1D5E" w:rsidRPr="003B1D5E" w:rsidRDefault="003B1D5E" w:rsidP="003B1D5E">
      <w:pPr>
        <w:pStyle w:val="Akapitzlist"/>
        <w:rPr>
          <w:b/>
          <w:sz w:val="28"/>
        </w:rPr>
      </w:pPr>
    </w:p>
    <w:p w:rsidR="003B1D5E" w:rsidRDefault="003B1D5E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Przed wykonaniem fundamentów należy sprawdzić jednorodność zagęszczenia.</w:t>
      </w:r>
    </w:p>
    <w:p w:rsidR="003B1D5E" w:rsidRPr="003B1D5E" w:rsidRDefault="003B1D5E" w:rsidP="003B1D5E">
      <w:pPr>
        <w:pStyle w:val="Akapitzlist"/>
        <w:rPr>
          <w:b/>
          <w:sz w:val="28"/>
        </w:rPr>
      </w:pPr>
    </w:p>
    <w:p w:rsidR="003B1D5E" w:rsidRDefault="003B1D5E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W razie stwierdzenia niekorzystnych zjawisk geologicznych, powyższe należy skonsultować z uprawnionym geologiem.</w:t>
      </w:r>
    </w:p>
    <w:p w:rsidR="00685F7E" w:rsidRPr="00685F7E" w:rsidRDefault="00685F7E" w:rsidP="00685F7E">
      <w:pPr>
        <w:pStyle w:val="Akapitzlist"/>
        <w:rPr>
          <w:b/>
          <w:sz w:val="28"/>
        </w:rPr>
      </w:pPr>
    </w:p>
    <w:p w:rsidR="00DF50E9" w:rsidRPr="00685F7E" w:rsidRDefault="00685F7E" w:rsidP="00CA0898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685F7E">
        <w:rPr>
          <w:b/>
          <w:sz w:val="28"/>
          <w:szCs w:val="28"/>
        </w:rPr>
        <w:t>Na omawianym terenie poziom</w:t>
      </w:r>
      <w:r w:rsidR="003B1D5E">
        <w:rPr>
          <w:b/>
          <w:sz w:val="28"/>
          <w:szCs w:val="28"/>
        </w:rPr>
        <w:t>u</w:t>
      </w:r>
      <w:r w:rsidRPr="00685F7E">
        <w:rPr>
          <w:b/>
          <w:sz w:val="28"/>
          <w:szCs w:val="28"/>
        </w:rPr>
        <w:t xml:space="preserve"> wód gruntowych </w:t>
      </w:r>
      <w:r w:rsidR="003B1D5E">
        <w:rPr>
          <w:b/>
          <w:sz w:val="28"/>
          <w:szCs w:val="28"/>
        </w:rPr>
        <w:t>nie</w:t>
      </w:r>
      <w:r w:rsidRPr="00685F7E">
        <w:rPr>
          <w:b/>
          <w:sz w:val="28"/>
          <w:szCs w:val="28"/>
        </w:rPr>
        <w:t xml:space="preserve"> stwierdzono </w:t>
      </w:r>
      <w:r w:rsidRPr="00685F7E">
        <w:rPr>
          <w:b/>
          <w:sz w:val="28"/>
          <w:szCs w:val="28"/>
        </w:rPr>
        <w:br/>
        <w:t xml:space="preserve">w wierceniach </w:t>
      </w:r>
      <w:r w:rsidR="003B1D5E">
        <w:rPr>
          <w:b/>
          <w:sz w:val="28"/>
          <w:szCs w:val="28"/>
        </w:rPr>
        <w:t>do</w:t>
      </w:r>
      <w:r w:rsidRPr="00685F7E">
        <w:rPr>
          <w:b/>
          <w:sz w:val="28"/>
          <w:szCs w:val="28"/>
        </w:rPr>
        <w:t xml:space="preserve"> głębokości </w:t>
      </w:r>
      <w:r w:rsidR="003B1D5E">
        <w:rPr>
          <w:b/>
          <w:sz w:val="28"/>
          <w:szCs w:val="28"/>
        </w:rPr>
        <w:t>6,00</w:t>
      </w:r>
      <w:r w:rsidRPr="00685F7E">
        <w:rPr>
          <w:b/>
          <w:sz w:val="28"/>
          <w:szCs w:val="28"/>
        </w:rPr>
        <w:t xml:space="preserve"> m</w:t>
      </w:r>
      <w:r w:rsidR="003B1D5E">
        <w:rPr>
          <w:b/>
          <w:sz w:val="28"/>
          <w:szCs w:val="28"/>
        </w:rPr>
        <w:t>.</w:t>
      </w:r>
    </w:p>
    <w:p w:rsidR="00685F7E" w:rsidRPr="00685F7E" w:rsidRDefault="00685F7E" w:rsidP="00685F7E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0420"/>
    <w:rsid w:val="0000142E"/>
    <w:rsid w:val="0000166F"/>
    <w:rsid w:val="0002527F"/>
    <w:rsid w:val="0002610A"/>
    <w:rsid w:val="000268A3"/>
    <w:rsid w:val="0002724E"/>
    <w:rsid w:val="0003038C"/>
    <w:rsid w:val="00040FB1"/>
    <w:rsid w:val="000448E3"/>
    <w:rsid w:val="0005547C"/>
    <w:rsid w:val="0006121A"/>
    <w:rsid w:val="00067909"/>
    <w:rsid w:val="00090A52"/>
    <w:rsid w:val="000A6692"/>
    <w:rsid w:val="000C0045"/>
    <w:rsid w:val="000C2A15"/>
    <w:rsid w:val="000C6D80"/>
    <w:rsid w:val="000C7A07"/>
    <w:rsid w:val="000D15C8"/>
    <w:rsid w:val="000E0028"/>
    <w:rsid w:val="000E7037"/>
    <w:rsid w:val="000E70B7"/>
    <w:rsid w:val="000F0F4E"/>
    <w:rsid w:val="000F3272"/>
    <w:rsid w:val="001031C0"/>
    <w:rsid w:val="00104286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710F6"/>
    <w:rsid w:val="00172D74"/>
    <w:rsid w:val="00177296"/>
    <w:rsid w:val="00191827"/>
    <w:rsid w:val="00197BAE"/>
    <w:rsid w:val="001A7C18"/>
    <w:rsid w:val="001B6F7A"/>
    <w:rsid w:val="001C090D"/>
    <w:rsid w:val="001D1020"/>
    <w:rsid w:val="001F1278"/>
    <w:rsid w:val="001F44EE"/>
    <w:rsid w:val="001F6205"/>
    <w:rsid w:val="00201C01"/>
    <w:rsid w:val="00204A68"/>
    <w:rsid w:val="00206C4C"/>
    <w:rsid w:val="00210814"/>
    <w:rsid w:val="00211DD6"/>
    <w:rsid w:val="0021506B"/>
    <w:rsid w:val="002216F2"/>
    <w:rsid w:val="00224D63"/>
    <w:rsid w:val="0024428B"/>
    <w:rsid w:val="00252E8E"/>
    <w:rsid w:val="002726ED"/>
    <w:rsid w:val="00276F3E"/>
    <w:rsid w:val="00281C11"/>
    <w:rsid w:val="00292FB8"/>
    <w:rsid w:val="002A5C10"/>
    <w:rsid w:val="002F0C3A"/>
    <w:rsid w:val="002F10A9"/>
    <w:rsid w:val="002F19DD"/>
    <w:rsid w:val="0030492A"/>
    <w:rsid w:val="0031130A"/>
    <w:rsid w:val="00313B20"/>
    <w:rsid w:val="003319DC"/>
    <w:rsid w:val="00340994"/>
    <w:rsid w:val="0034355F"/>
    <w:rsid w:val="00350440"/>
    <w:rsid w:val="00363943"/>
    <w:rsid w:val="00364824"/>
    <w:rsid w:val="00364F2D"/>
    <w:rsid w:val="00367341"/>
    <w:rsid w:val="0037002A"/>
    <w:rsid w:val="0037018D"/>
    <w:rsid w:val="0037144F"/>
    <w:rsid w:val="0037554C"/>
    <w:rsid w:val="00375CC0"/>
    <w:rsid w:val="00381368"/>
    <w:rsid w:val="003A5D6F"/>
    <w:rsid w:val="003B1CD6"/>
    <w:rsid w:val="003B1D5E"/>
    <w:rsid w:val="003B26CD"/>
    <w:rsid w:val="003C4146"/>
    <w:rsid w:val="003C7418"/>
    <w:rsid w:val="003D15B3"/>
    <w:rsid w:val="00404BFA"/>
    <w:rsid w:val="00407643"/>
    <w:rsid w:val="00416CB6"/>
    <w:rsid w:val="00435DFA"/>
    <w:rsid w:val="004375E0"/>
    <w:rsid w:val="0045721E"/>
    <w:rsid w:val="0046474D"/>
    <w:rsid w:val="00485FAF"/>
    <w:rsid w:val="004A46D9"/>
    <w:rsid w:val="004A48AE"/>
    <w:rsid w:val="004B07B6"/>
    <w:rsid w:val="004B49AC"/>
    <w:rsid w:val="004B5634"/>
    <w:rsid w:val="004E272A"/>
    <w:rsid w:val="004E28E4"/>
    <w:rsid w:val="004E31A3"/>
    <w:rsid w:val="004E3376"/>
    <w:rsid w:val="004E4384"/>
    <w:rsid w:val="005016E7"/>
    <w:rsid w:val="00501C41"/>
    <w:rsid w:val="00506D37"/>
    <w:rsid w:val="00513DC4"/>
    <w:rsid w:val="0051517D"/>
    <w:rsid w:val="005159B1"/>
    <w:rsid w:val="00530A57"/>
    <w:rsid w:val="00532A87"/>
    <w:rsid w:val="00534656"/>
    <w:rsid w:val="00535C85"/>
    <w:rsid w:val="005360D2"/>
    <w:rsid w:val="005522B2"/>
    <w:rsid w:val="00573E58"/>
    <w:rsid w:val="005901E6"/>
    <w:rsid w:val="005927FD"/>
    <w:rsid w:val="0059524F"/>
    <w:rsid w:val="005972E4"/>
    <w:rsid w:val="005A0880"/>
    <w:rsid w:val="005A4DCB"/>
    <w:rsid w:val="005A54AF"/>
    <w:rsid w:val="005A58C5"/>
    <w:rsid w:val="005B7E48"/>
    <w:rsid w:val="005C2215"/>
    <w:rsid w:val="005C2468"/>
    <w:rsid w:val="005D2B36"/>
    <w:rsid w:val="005E0D28"/>
    <w:rsid w:val="005E413A"/>
    <w:rsid w:val="005F2EF0"/>
    <w:rsid w:val="0061197B"/>
    <w:rsid w:val="00625A41"/>
    <w:rsid w:val="00637403"/>
    <w:rsid w:val="00641684"/>
    <w:rsid w:val="00645639"/>
    <w:rsid w:val="006508BD"/>
    <w:rsid w:val="006607A9"/>
    <w:rsid w:val="00671926"/>
    <w:rsid w:val="00685F7E"/>
    <w:rsid w:val="006865FE"/>
    <w:rsid w:val="00687900"/>
    <w:rsid w:val="00687A8E"/>
    <w:rsid w:val="006953FC"/>
    <w:rsid w:val="006A147B"/>
    <w:rsid w:val="006A5A67"/>
    <w:rsid w:val="006D7A3A"/>
    <w:rsid w:val="006E0755"/>
    <w:rsid w:val="006E6731"/>
    <w:rsid w:val="006F1A42"/>
    <w:rsid w:val="006F34D4"/>
    <w:rsid w:val="006F6DC2"/>
    <w:rsid w:val="00710798"/>
    <w:rsid w:val="0072675D"/>
    <w:rsid w:val="00727D7B"/>
    <w:rsid w:val="0073124A"/>
    <w:rsid w:val="00741E16"/>
    <w:rsid w:val="007564DB"/>
    <w:rsid w:val="00757A31"/>
    <w:rsid w:val="00761CDD"/>
    <w:rsid w:val="00763F0F"/>
    <w:rsid w:val="00764CA5"/>
    <w:rsid w:val="0076780D"/>
    <w:rsid w:val="00771BB1"/>
    <w:rsid w:val="0077411B"/>
    <w:rsid w:val="00775014"/>
    <w:rsid w:val="00781200"/>
    <w:rsid w:val="00783200"/>
    <w:rsid w:val="0078337C"/>
    <w:rsid w:val="00787314"/>
    <w:rsid w:val="00794D9F"/>
    <w:rsid w:val="00797280"/>
    <w:rsid w:val="007A0FA2"/>
    <w:rsid w:val="007A1AF6"/>
    <w:rsid w:val="007A1E01"/>
    <w:rsid w:val="007A76C4"/>
    <w:rsid w:val="007C23BA"/>
    <w:rsid w:val="007C2BE6"/>
    <w:rsid w:val="007D1705"/>
    <w:rsid w:val="007F2299"/>
    <w:rsid w:val="007F6B81"/>
    <w:rsid w:val="00821121"/>
    <w:rsid w:val="00827BF4"/>
    <w:rsid w:val="008331A0"/>
    <w:rsid w:val="00836157"/>
    <w:rsid w:val="0084638A"/>
    <w:rsid w:val="00851931"/>
    <w:rsid w:val="00853FDC"/>
    <w:rsid w:val="0087157C"/>
    <w:rsid w:val="00875226"/>
    <w:rsid w:val="00890166"/>
    <w:rsid w:val="008C4817"/>
    <w:rsid w:val="008C6EC7"/>
    <w:rsid w:val="008D1244"/>
    <w:rsid w:val="008E2E83"/>
    <w:rsid w:val="008E476A"/>
    <w:rsid w:val="008F4AB6"/>
    <w:rsid w:val="00903468"/>
    <w:rsid w:val="00906876"/>
    <w:rsid w:val="00916AE7"/>
    <w:rsid w:val="009203F6"/>
    <w:rsid w:val="00921BBE"/>
    <w:rsid w:val="00933630"/>
    <w:rsid w:val="00941324"/>
    <w:rsid w:val="00944521"/>
    <w:rsid w:val="00950C58"/>
    <w:rsid w:val="0095328E"/>
    <w:rsid w:val="009616B1"/>
    <w:rsid w:val="0096375A"/>
    <w:rsid w:val="0097471E"/>
    <w:rsid w:val="009821F6"/>
    <w:rsid w:val="0098377A"/>
    <w:rsid w:val="00985DC1"/>
    <w:rsid w:val="0098735D"/>
    <w:rsid w:val="009924EE"/>
    <w:rsid w:val="009931C2"/>
    <w:rsid w:val="009A4505"/>
    <w:rsid w:val="009A6EC6"/>
    <w:rsid w:val="009B0516"/>
    <w:rsid w:val="009B19BC"/>
    <w:rsid w:val="009D019F"/>
    <w:rsid w:val="009F5C2F"/>
    <w:rsid w:val="009F751F"/>
    <w:rsid w:val="00A171F5"/>
    <w:rsid w:val="00A172BB"/>
    <w:rsid w:val="00A22D16"/>
    <w:rsid w:val="00A25AA5"/>
    <w:rsid w:val="00A34F52"/>
    <w:rsid w:val="00A352BA"/>
    <w:rsid w:val="00A54ECD"/>
    <w:rsid w:val="00AA5777"/>
    <w:rsid w:val="00AB1F24"/>
    <w:rsid w:val="00AB23C9"/>
    <w:rsid w:val="00AD0315"/>
    <w:rsid w:val="00AD773B"/>
    <w:rsid w:val="00AE6191"/>
    <w:rsid w:val="00AE65CC"/>
    <w:rsid w:val="00AF552C"/>
    <w:rsid w:val="00B134B8"/>
    <w:rsid w:val="00B41E08"/>
    <w:rsid w:val="00B63689"/>
    <w:rsid w:val="00B72FF4"/>
    <w:rsid w:val="00B75C7B"/>
    <w:rsid w:val="00B81C24"/>
    <w:rsid w:val="00B833F3"/>
    <w:rsid w:val="00B842C5"/>
    <w:rsid w:val="00B91D27"/>
    <w:rsid w:val="00B92743"/>
    <w:rsid w:val="00B93353"/>
    <w:rsid w:val="00B95FC9"/>
    <w:rsid w:val="00BA38F2"/>
    <w:rsid w:val="00BA4AF2"/>
    <w:rsid w:val="00BB612C"/>
    <w:rsid w:val="00BD1F13"/>
    <w:rsid w:val="00BD35B5"/>
    <w:rsid w:val="00BF7600"/>
    <w:rsid w:val="00C01631"/>
    <w:rsid w:val="00C06FE8"/>
    <w:rsid w:val="00C32554"/>
    <w:rsid w:val="00C32BA9"/>
    <w:rsid w:val="00C40AA3"/>
    <w:rsid w:val="00C508C4"/>
    <w:rsid w:val="00C53443"/>
    <w:rsid w:val="00C54801"/>
    <w:rsid w:val="00C5796A"/>
    <w:rsid w:val="00C74141"/>
    <w:rsid w:val="00C77DCC"/>
    <w:rsid w:val="00C805C2"/>
    <w:rsid w:val="00C84413"/>
    <w:rsid w:val="00C937E9"/>
    <w:rsid w:val="00CA0898"/>
    <w:rsid w:val="00CA3BC0"/>
    <w:rsid w:val="00CA7B85"/>
    <w:rsid w:val="00CB458F"/>
    <w:rsid w:val="00CB4657"/>
    <w:rsid w:val="00CB6401"/>
    <w:rsid w:val="00CB6715"/>
    <w:rsid w:val="00CC5C29"/>
    <w:rsid w:val="00CC6B14"/>
    <w:rsid w:val="00CE3FFA"/>
    <w:rsid w:val="00CF523F"/>
    <w:rsid w:val="00CF6DA0"/>
    <w:rsid w:val="00D07497"/>
    <w:rsid w:val="00D15390"/>
    <w:rsid w:val="00D40F63"/>
    <w:rsid w:val="00D4138D"/>
    <w:rsid w:val="00D47140"/>
    <w:rsid w:val="00D53ADF"/>
    <w:rsid w:val="00D54D89"/>
    <w:rsid w:val="00D5629E"/>
    <w:rsid w:val="00D56D41"/>
    <w:rsid w:val="00D751E6"/>
    <w:rsid w:val="00DB6F2A"/>
    <w:rsid w:val="00DB7D4B"/>
    <w:rsid w:val="00DC11ED"/>
    <w:rsid w:val="00DC1E8B"/>
    <w:rsid w:val="00DD18E9"/>
    <w:rsid w:val="00DD44ED"/>
    <w:rsid w:val="00DE4777"/>
    <w:rsid w:val="00DE5050"/>
    <w:rsid w:val="00DF26AB"/>
    <w:rsid w:val="00DF50E9"/>
    <w:rsid w:val="00DF66D1"/>
    <w:rsid w:val="00E10D14"/>
    <w:rsid w:val="00E1585C"/>
    <w:rsid w:val="00E242F7"/>
    <w:rsid w:val="00E307D2"/>
    <w:rsid w:val="00E31D69"/>
    <w:rsid w:val="00E3314E"/>
    <w:rsid w:val="00E40252"/>
    <w:rsid w:val="00E41946"/>
    <w:rsid w:val="00E43D6F"/>
    <w:rsid w:val="00E64E19"/>
    <w:rsid w:val="00E74DB3"/>
    <w:rsid w:val="00E80333"/>
    <w:rsid w:val="00E87F79"/>
    <w:rsid w:val="00E94B00"/>
    <w:rsid w:val="00E95FDE"/>
    <w:rsid w:val="00EB1BA7"/>
    <w:rsid w:val="00EB7C8C"/>
    <w:rsid w:val="00EC70FD"/>
    <w:rsid w:val="00EE1379"/>
    <w:rsid w:val="00F0560A"/>
    <w:rsid w:val="00F146E7"/>
    <w:rsid w:val="00F14FEB"/>
    <w:rsid w:val="00F203C4"/>
    <w:rsid w:val="00F31224"/>
    <w:rsid w:val="00F34288"/>
    <w:rsid w:val="00F46EB4"/>
    <w:rsid w:val="00F576E6"/>
    <w:rsid w:val="00F60D4E"/>
    <w:rsid w:val="00F67912"/>
    <w:rsid w:val="00F722A2"/>
    <w:rsid w:val="00F73E0D"/>
    <w:rsid w:val="00F91A2C"/>
    <w:rsid w:val="00F91A2E"/>
    <w:rsid w:val="00F97282"/>
    <w:rsid w:val="00FA259F"/>
    <w:rsid w:val="00FA7749"/>
    <w:rsid w:val="00FB24CC"/>
    <w:rsid w:val="00FD3404"/>
    <w:rsid w:val="00FD6351"/>
    <w:rsid w:val="00FD63CB"/>
    <w:rsid w:val="00FD7E18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link w:val="Tekstpodstawowy2Znak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Tekstpodstawowy2Znak">
    <w:name w:val="Tekst podstawowy 2 Znak"/>
    <w:basedOn w:val="Domylnaczcionkaakapitu"/>
    <w:link w:val="Tekstpodstawowy2"/>
    <w:rsid w:val="00FD3404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87</TotalTime>
  <Pages>6</Pages>
  <Words>999</Words>
  <Characters>5995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28</cp:revision>
  <cp:lastPrinted>2013-11-22T11:57:00Z</cp:lastPrinted>
  <dcterms:created xsi:type="dcterms:W3CDTF">2014-02-28T07:42:00Z</dcterms:created>
  <dcterms:modified xsi:type="dcterms:W3CDTF">2014-02-28T09:11:00Z</dcterms:modified>
</cp:coreProperties>
</file>