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Strategy Comparison Backtest</w:t>
      </w:r>
    </w:p>
    <w:p>
      <w:pPr>
        <w:pStyle w:val="FirstParagraph"/>
      </w:pPr>
      <w:r>
        <w:t xml:space="preserve">This notebook runs the downstream portfolio backtest for the project.</w:t>
      </w:r>
    </w:p>
    <w:p>
      <w:pPr>
        <w:pStyle w:val="BodyText"/>
      </w:pPr>
      <w:r>
        <w:t xml:space="preserve">It compares the model-based strategies from HMM and MS-VAR against the project benchmarks:</w:t>
      </w:r>
    </w:p>
    <w:p>
      <w:pPr>
        <w:pStyle w:val="Compact"/>
        <w:numPr>
          <w:ilvl w:val="0"/>
          <w:numId w:val="1001"/>
        </w:numPr>
      </w:pPr>
      <w:r>
        <w:t xml:space="preserve">60/40 equity-bond portfolio</w:t>
      </w:r>
    </w:p>
    <w:p>
      <w:pPr>
        <w:pStyle w:val="Compact"/>
        <w:numPr>
          <w:ilvl w:val="0"/>
          <w:numId w:val="1001"/>
        </w:numPr>
      </w:pPr>
      <w:r>
        <w:t xml:space="preserve">Equal-weight equity-bond-gold portfolio</w:t>
      </w:r>
    </w:p>
    <w:p>
      <w:pPr>
        <w:pStyle w:val="Compact"/>
        <w:numPr>
          <w:ilvl w:val="0"/>
          <w:numId w:val="1001"/>
        </w:numPr>
      </w:pPr>
      <w:r>
        <w:t xml:space="preserve">Buy-and-hold equity portfolio</w:t>
      </w:r>
    </w:p>
    <w:p>
      <w:pPr>
        <w:pStyle w:val="FirstParagraph"/>
      </w:pPr>
      <w:r>
        <w:t xml:space="preserve">The notebook starts after the model notebooks have already produced target portfolio weights. It does not estimate HMM or MS-VAR directly.</w:t>
      </w:r>
    </w:p>
    <w:bookmarkStart w:id="20" w:name="backtest-design"/>
    <w:p>
      <w:pPr>
        <w:pStyle w:val="Heading2"/>
      </w:pPr>
      <w:r>
        <w:t xml:space="preserve">Backtest Design</w:t>
      </w:r>
    </w:p>
    <w:p>
      <w:pPr>
        <w:pStyle w:val="FirstParagraph"/>
      </w:pPr>
      <w:r>
        <w:t xml:space="preserve">The model notebooks export monthly target weights after regime classification and regime-to-asset mapping.</w:t>
      </w:r>
    </w:p>
    <w:p>
      <w:pPr>
        <w:pStyle w:val="BodyText"/>
      </w:pPr>
      <w:r>
        <w:t xml:space="preserve">Expected input files:</w:t>
      </w:r>
    </w:p>
    <w:p>
      <w:pPr>
        <w:pStyle w:val="Compact"/>
        <w:numPr>
          <w:ilvl w:val="0"/>
          <w:numId w:val="1002"/>
        </w:numPr>
      </w:pPr>
      <w:r>
        <w:t xml:space="preserve">outputs/tables/hmm_target_weights.csv</w:t>
      </w:r>
    </w:p>
    <w:p>
      <w:pPr>
        <w:pStyle w:val="Compact"/>
        <w:numPr>
          <w:ilvl w:val="0"/>
          <w:numId w:val="1002"/>
        </w:numPr>
      </w:pPr>
      <w:r>
        <w:t xml:space="preserve">outputs/tables/msvar_target_weights.csv</w:t>
      </w:r>
    </w:p>
    <w:p>
      <w:pPr>
        <w:pStyle w:val="FirstParagraph"/>
      </w:pPr>
      <w:r>
        <w:t xml:space="preserve">Current exported columns:</w:t>
      </w:r>
    </w:p>
    <w:p>
      <w:pPr>
        <w:pStyle w:val="BodyText"/>
      </w:pPr>
      <w:r>
        <w:t xml:space="preserve">Date</w:t>
      </w:r>
      <w:r>
        <w:t xml:space="preserve"> </w:t>
      </w:r>
      <w:r>
        <w:t xml:space="preserve">Regime</w:t>
      </w:r>
      <w:r>
        <w:t xml:space="preserve"> </w:t>
      </w:r>
      <w:r>
        <w:t xml:space="preserve">Equity</w:t>
      </w:r>
      <w:r>
        <w:t xml:space="preserve"> </w:t>
      </w:r>
      <w:r>
        <w:t xml:space="preserve">Bonds</w:t>
      </w:r>
      <w:r>
        <w:t xml:space="preserve"> </w:t>
      </w:r>
      <w:r>
        <w:t xml:space="preserve">Gold</w:t>
      </w:r>
    </w:p>
    <w:p>
      <w:pPr>
        <w:pStyle w:val="BodyText"/>
      </w:pPr>
      <w:r>
        <w:t xml:space="preserve">This notebook renames those columns internally to match the asset-return columns in market_clean.csv:</w:t>
      </w:r>
    </w:p>
    <w:p>
      <w:pPr>
        <w:pStyle w:val="BodyText"/>
      </w:pPr>
      <w:r>
        <w:t xml:space="preserve">Regime -&gt; regime_label</w:t>
      </w:r>
      <w:r>
        <w:t xml:space="preserve"> </w:t>
      </w:r>
      <w:r>
        <w:t xml:space="preserve">Equity -&gt; index_fund</w:t>
      </w:r>
      <w:r>
        <w:t xml:space="preserve"> </w:t>
      </w:r>
      <w:r>
        <w:t xml:space="preserve">Bonds -&gt; treasury_fund</w:t>
      </w:r>
      <w:r>
        <w:t xml:space="preserve"> </w:t>
      </w:r>
      <w:r>
        <w:t xml:space="preserve">Gold -&gt; gold_fund</w:t>
      </w:r>
    </w:p>
    <w:p>
      <w:pPr>
        <w:pStyle w:val="BodyText"/>
      </w:pPr>
      <w:r>
        <w:t xml:space="preserve">The main evaluation is restricted to the test period. Based on the current train-test split, the HMM test signal period starts on 2018-10-31 and the MS-VAR test signal period starts on 2018-11-30.</w:t>
      </w:r>
    </w:p>
    <w:p>
      <w:pPr>
        <w:pStyle w:val="BodyText"/>
      </w:pPr>
      <w:r>
        <w:t xml:space="preserve">For HMM and MS-VAR, exported weights are treated as signal-date target weights. This notebook applies a one-month lag before calculating returns, so weights generated for month t are applied to the following month’s close-to-close return.</w:t>
      </w:r>
    </w:p>
    <w:p>
      <w:pPr>
        <w:pStyle w:val="BodyText"/>
      </w:pPr>
      <w:r>
        <w:t xml:space="preserve">Benchmarks are evaluated over the same realized-return test window as the model strategies.</w:t>
      </w:r>
    </w:p>
    <w:bookmarkEnd w:id="20"/>
    <w:bookmarkStart w:id="21" w:name="cost-and-tax-treatment"/>
    <w:p>
      <w:pPr>
        <w:pStyle w:val="Heading2"/>
      </w:pPr>
      <w:r>
        <w:t xml:space="preserve">Cost and Tax Treatment</w:t>
      </w:r>
    </w:p>
    <w:p>
      <w:pPr>
        <w:pStyle w:val="FirstParagraph"/>
      </w:pPr>
      <w:r>
        <w:t xml:space="preserve">The main comparison uses net returns after transaction costs.</w:t>
      </w:r>
    </w:p>
    <w:p>
      <w:pPr>
        <w:pStyle w:val="BodyText"/>
      </w:pPr>
      <w:r>
        <w:t xml:space="preserve">Transaction costs are modeled as monthly rebalancing costs. At each rebalance, total traded notional is measured as the sum of absolute differences between drifted weights and target weights. A transaction cost of 10 basis points is applied to that traded notional.</w:t>
      </w:r>
    </w:p>
    <w:p>
      <w:pPr>
        <w:pStyle w:val="BodyText"/>
      </w:pPr>
      <w:r>
        <w:t xml:space="preserve">Tax results are reported separately as sensitivity scenarios. They are not treated as the base-case performance result because actual taxes depend on investor type, account structure, holding period, jurisdiction, and the specific investment vehicle. The tax calculation here is an approximation, not a full tax-lot accounting model.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"../data"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OUTPUT_TABLES_DIR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"../outputs/tables"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OUTPUT_FIGURES_DIR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"../outputs/figures"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OUTPUT_TABLES_DIR.mkdir(parents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OUTPUT_FIGURES_DIR.mkdir(parents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ASSET_COLS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TRANSACTION_COST_BPS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MODEL_SIGNAL_START_DATES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"HMM"</w:t>
      </w:r>
      <w:r>
        <w:rPr>
          <w:rStyle w:val="NormalTok"/>
        </w:rPr>
        <w:t xml:space="preserve">: pd.Timestamp(</w:t>
      </w:r>
      <w:r>
        <w:rPr>
          <w:rStyle w:val="StringTok"/>
        </w:rPr>
        <w:t xml:space="preserve">"2018-10-31"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"MSVAR"</w:t>
      </w:r>
      <w:r>
        <w:rPr>
          <w:rStyle w:val="NormalTok"/>
        </w:rPr>
        <w:t xml:space="preserve">: pd.Timestamp(</w:t>
      </w:r>
      <w:r>
        <w:rPr>
          <w:rStyle w:val="StringTok"/>
        </w:rPr>
        <w:t xml:space="preserve">"2018-11-30"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ASSET_TAX_RATES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Tax"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"Long-Term Capital Gain Sensitivity"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"Gold Collectibles Sensitivity"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 Short-Term Sensitivity"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asset_returns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"market_clean.csv"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asset_returns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asset_returns[ASSET_COLS].sort_index()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(asset_returns.shape)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f"Asset return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asset_returns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asset_returns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asset_returns.head()</w:t>
      </w:r>
    </w:p>
    <w:p>
      <w:pPr>
        <w:pStyle w:val="SourceCode"/>
      </w:pPr>
      <w:r>
        <w:rPr>
          <w:rStyle w:val="VerbatimChar"/>
        </w:rPr>
        <w:t xml:space="preserve">(431, 3)</w:t>
      </w:r>
      <w:r>
        <w:br/>
      </w:r>
      <w:r>
        <w:rPr>
          <w:rStyle w:val="VerbatimChar"/>
        </w:rPr>
        <w:t xml:space="preserve">Asset return range: 1990-02-28 to 2025-12-31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index_fund</w:t>
            </w:r>
          </w:p>
        </w:tc>
        <w:tc>
          <w:tcPr/>
          <w:p>
            <w:pPr>
              <w:pStyle w:val="Compact"/>
            </w:pPr>
            <w:r>
              <w:t xml:space="preserve">treasury_fund</w:t>
            </w:r>
          </w:p>
        </w:tc>
        <w:tc>
          <w:tcPr/>
          <w:p>
            <w:pPr>
              <w:pStyle w:val="Compact"/>
            </w:pPr>
            <w:r>
              <w:t xml:space="preserve">gold_fund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1990-02-28</w:t>
            </w:r>
          </w:p>
        </w:tc>
        <w:tc>
          <w:tcPr/>
          <w:p>
            <w:pPr>
              <w:pStyle w:val="Compact"/>
            </w:pPr>
            <w:r>
              <w:t xml:space="preserve">0.012748</w:t>
            </w:r>
          </w:p>
        </w:tc>
        <w:tc>
          <w:tcPr/>
          <w:p>
            <w:pPr>
              <w:pStyle w:val="Compact"/>
            </w:pPr>
            <w:r>
              <w:t xml:space="preserve">-0.003267</w:t>
            </w:r>
          </w:p>
        </w:tc>
        <w:tc>
          <w:tcPr/>
          <w:p>
            <w:pPr>
              <w:pStyle w:val="Compact"/>
            </w:pPr>
            <w:r>
              <w:t xml:space="preserve">0.017748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1990-03-31</w:t>
            </w:r>
          </w:p>
        </w:tc>
        <w:tc>
          <w:tcPr/>
          <w:p>
            <w:pPr>
              <w:pStyle w:val="Compact"/>
            </w:pPr>
            <w:r>
              <w:t xml:space="preserve">0.027663</w:t>
            </w:r>
          </w:p>
        </w:tc>
        <w:tc>
          <w:tcPr/>
          <w:p>
            <w:pPr>
              <w:pStyle w:val="Compact"/>
            </w:pPr>
            <w:r>
              <w:t xml:space="preserve">-0.003589</w:t>
            </w:r>
          </w:p>
        </w:tc>
        <w:tc>
          <w:tcPr/>
          <w:p>
            <w:pPr>
              <w:pStyle w:val="Compact"/>
            </w:pPr>
            <w:r>
              <w:t xml:space="preserve">-0.051637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1990-04-30</w:t>
            </w:r>
          </w:p>
        </w:tc>
        <w:tc>
          <w:tcPr/>
          <w:p>
            <w:pPr>
              <w:pStyle w:val="Compact"/>
            </w:pPr>
            <w:r>
              <w:t xml:space="preserve">-0.025015</w:t>
            </w:r>
          </w:p>
        </w:tc>
        <w:tc>
          <w:tcPr/>
          <w:p>
            <w:pPr>
              <w:pStyle w:val="Compact"/>
            </w:pPr>
            <w:r>
              <w:t xml:space="preserve">-0.027230</w:t>
            </w:r>
          </w:p>
        </w:tc>
        <w:tc>
          <w:tcPr/>
          <w:p>
            <w:pPr>
              <w:pStyle w:val="Compact"/>
            </w:pPr>
            <w:r>
              <w:t xml:space="preserve">-0.001374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1990-05-31</w:t>
            </w:r>
          </w:p>
        </w:tc>
        <w:tc>
          <w:tcPr/>
          <w:p>
            <w:pPr>
              <w:pStyle w:val="Compact"/>
            </w:pPr>
            <w:r>
              <w:t xml:space="preserve">0.096928</w:t>
            </w:r>
          </w:p>
        </w:tc>
        <w:tc>
          <w:tcPr/>
          <w:p>
            <w:pPr>
              <w:pStyle w:val="Compact"/>
            </w:pPr>
            <w:r>
              <w:t xml:space="preserve">0.044975</w:t>
            </w:r>
          </w:p>
        </w:tc>
        <w:tc>
          <w:tcPr/>
          <w:p>
            <w:pPr>
              <w:pStyle w:val="Compact"/>
            </w:pPr>
            <w:r>
              <w:t xml:space="preserve">-0.013624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1990-06-30</w:t>
            </w:r>
          </w:p>
        </w:tc>
        <w:tc>
          <w:tcPr/>
          <w:p>
            <w:pPr>
              <w:pStyle w:val="Compact"/>
            </w:pPr>
            <w:r>
              <w:t xml:space="preserve">-0.006555</w:t>
            </w:r>
          </w:p>
        </w:tc>
        <w:tc>
          <w:tcPr/>
          <w:p>
            <w:pPr>
              <w:pStyle w:val="Compact"/>
            </w:pPr>
            <w:r>
              <w:t xml:space="preserve">0.022940</w:t>
            </w:r>
          </w:p>
        </w:tc>
        <w:tc>
          <w:tcPr/>
          <w:p>
            <w:pPr>
              <w:pStyle w:val="Compact"/>
            </w:pPr>
            <w:r>
              <w:t xml:space="preserve">-0.003990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load_target_weights(path):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target weights exported by the model notebooks and standardize column names.</w:t>
      </w:r>
      <w:r>
        <w:br/>
      </w:r>
      <w:r>
        <w:br/>
      </w:r>
      <w:r>
        <w:rPr>
          <w:rStyle w:val="CommentTok"/>
        </w:rPr>
        <w:t xml:space="preserve">    Current upstream format:</w:t>
      </w:r>
      <w:r>
        <w:br/>
      </w:r>
      <w:r>
        <w:rPr>
          <w:rStyle w:val="CommentTok"/>
        </w:rPr>
        <w:t xml:space="preserve">    Date, Regime, Equity, Bonds, Gold</w:t>
      </w:r>
      <w:r>
        <w:br/>
      </w:r>
      <w:r>
        <w:br/>
      </w:r>
      <w:r>
        <w:rPr>
          <w:rStyle w:val="CommentTok"/>
        </w:rPr>
        <w:t xml:space="preserve">    Standardized format used here:</w:t>
      </w:r>
      <w:r>
        <w:br/>
      </w:r>
      <w:r>
        <w:rPr>
          <w:rStyle w:val="CommentTok"/>
        </w:rPr>
        <w:t xml:space="preserve">    Date index, regime_label, index_fund, treasury_fund, gold_fund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rename_map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"regime_label"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"Equity"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"Bonds"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rename_map)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weights.set_index(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).sort_index()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percentages to decimals if needed.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weights.columns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ASSET_COLS):</w:t>
      </w:r>
      <w:r>
        <w:br/>
      </w:r>
      <w:r>
        <w:rPr>
          <w:rStyle w:val="NormalTok"/>
        </w:rPr>
        <w:t xml:space="preserve">        median_weight_sum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weights[ASSET_COLS].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).median()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np.isclose(median_weight_sum,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weights[ASSET_COLS]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weights[ASSET_COLS]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br/>
      </w:r>
      <w:r>
        <w:br/>
      </w:r>
      <w:r>
        <w:rPr>
          <w:rStyle w:val="NormalTok"/>
        </w:rPr>
        <w:t xml:space="preserve">model_weight_files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"HMM"</w:t>
      </w:r>
      <w:r>
        <w:rPr>
          <w:rStyle w:val="NormalTok"/>
        </w:rPr>
        <w:t xml:space="preserve">: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"hmm_target_weights.csv"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"MSVAR"</w:t>
      </w:r>
      <w:r>
        <w:rPr>
          <w:rStyle w:val="NormalTok"/>
        </w:rPr>
        <w:t xml:space="preserve">: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"msvar_target_weights.csv"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model_weights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model_weight_files.items():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load_target_weights(path)</w:t>
      </w:r>
      <w:r>
        <w:br/>
      </w:r>
      <w:r>
        <w:rPr>
          <w:rStyle w:val="NormalTok"/>
        </w:rPr>
        <w:t xml:space="preserve">        model_weights[model_name]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target weights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display(weights.head())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target weights: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Available model weight files: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(model_weights)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Loaded HMM target weights from ..\outputs\tables\hmm_target_weights.csv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regime_label</w:t>
            </w:r>
          </w:p>
        </w:tc>
        <w:tc>
          <w:tcPr/>
          <w:p>
            <w:pPr>
              <w:pStyle w:val="Compact"/>
            </w:pPr>
            <w:r>
              <w:t xml:space="preserve">index_fund</w:t>
            </w:r>
          </w:p>
        </w:tc>
        <w:tc>
          <w:tcPr/>
          <w:p>
            <w:pPr>
              <w:pStyle w:val="Compact"/>
            </w:pPr>
            <w:r>
              <w:t xml:space="preserve">treasury_fund</w:t>
            </w:r>
          </w:p>
        </w:tc>
        <w:tc>
          <w:tcPr/>
          <w:p>
            <w:pPr>
              <w:pStyle w:val="Compact"/>
            </w:pPr>
            <w:r>
              <w:t xml:space="preserve">gold_fund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1990-02-28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0.304427</w:t>
            </w:r>
          </w:p>
        </w:tc>
        <w:tc>
          <w:tcPr/>
          <w:p>
            <w:pPr>
              <w:pStyle w:val="Compact"/>
            </w:pPr>
            <w:r>
              <w:t xml:space="preserve">0.448602</w:t>
            </w:r>
          </w:p>
        </w:tc>
        <w:tc>
          <w:tcPr/>
          <w:p>
            <w:pPr>
              <w:pStyle w:val="Compact"/>
            </w:pPr>
            <w:r>
              <w:t xml:space="preserve">0.246971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1990-03-31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0.304427</w:t>
            </w:r>
          </w:p>
        </w:tc>
        <w:tc>
          <w:tcPr/>
          <w:p>
            <w:pPr>
              <w:pStyle w:val="Compact"/>
            </w:pPr>
            <w:r>
              <w:t xml:space="preserve">0.448602</w:t>
            </w:r>
          </w:p>
        </w:tc>
        <w:tc>
          <w:tcPr/>
          <w:p>
            <w:pPr>
              <w:pStyle w:val="Compact"/>
            </w:pPr>
            <w:r>
              <w:t xml:space="preserve">0.246971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1990-04-30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0.304427</w:t>
            </w:r>
          </w:p>
        </w:tc>
        <w:tc>
          <w:tcPr/>
          <w:p>
            <w:pPr>
              <w:pStyle w:val="Compact"/>
            </w:pPr>
            <w:r>
              <w:t xml:space="preserve">0.448602</w:t>
            </w:r>
          </w:p>
        </w:tc>
        <w:tc>
          <w:tcPr/>
          <w:p>
            <w:pPr>
              <w:pStyle w:val="Compact"/>
            </w:pPr>
            <w:r>
              <w:t xml:space="preserve">0.246971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1990-05-31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0.304427</w:t>
            </w:r>
          </w:p>
        </w:tc>
        <w:tc>
          <w:tcPr/>
          <w:p>
            <w:pPr>
              <w:pStyle w:val="Compact"/>
            </w:pPr>
            <w:r>
              <w:t xml:space="preserve">0.448602</w:t>
            </w:r>
          </w:p>
        </w:tc>
        <w:tc>
          <w:tcPr/>
          <w:p>
            <w:pPr>
              <w:pStyle w:val="Compact"/>
            </w:pPr>
            <w:r>
              <w:t xml:space="preserve">0.246971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1990-06-30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0.304427</w:t>
            </w:r>
          </w:p>
        </w:tc>
        <w:tc>
          <w:tcPr/>
          <w:p>
            <w:pPr>
              <w:pStyle w:val="Compact"/>
            </w:pPr>
            <w:r>
              <w:t xml:space="preserve">0.448602</w:t>
            </w:r>
          </w:p>
        </w:tc>
        <w:tc>
          <w:tcPr/>
          <w:p>
            <w:pPr>
              <w:pStyle w:val="Compact"/>
            </w:pPr>
            <w:r>
              <w:t xml:space="preserve">0.246971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Loaded MSVAR target weights from ..\outputs\tables\msvar_target_weights.csv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regime_label</w:t>
            </w:r>
          </w:p>
        </w:tc>
        <w:tc>
          <w:tcPr/>
          <w:p>
            <w:pPr>
              <w:pStyle w:val="Compact"/>
            </w:pPr>
            <w:r>
              <w:t xml:space="preserve">index_fund</w:t>
            </w:r>
          </w:p>
        </w:tc>
        <w:tc>
          <w:tcPr/>
          <w:p>
            <w:pPr>
              <w:pStyle w:val="Compact"/>
            </w:pPr>
            <w:r>
              <w:t xml:space="preserve">treasury_fund</w:t>
            </w:r>
          </w:p>
        </w:tc>
        <w:tc>
          <w:tcPr/>
          <w:p>
            <w:pPr>
              <w:pStyle w:val="Compact"/>
            </w:pPr>
            <w:r>
              <w:t xml:space="preserve">gold_fund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1990-03-31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0.317679</w:t>
            </w:r>
          </w:p>
        </w:tc>
        <w:tc>
          <w:tcPr/>
          <w:p>
            <w:pPr>
              <w:pStyle w:val="Compact"/>
            </w:pPr>
            <w:r>
              <w:t xml:space="preserve">0.328343</w:t>
            </w:r>
          </w:p>
        </w:tc>
        <w:tc>
          <w:tcPr/>
          <w:p>
            <w:pPr>
              <w:pStyle w:val="Compact"/>
            </w:pPr>
            <w:r>
              <w:t xml:space="preserve">0.353978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1990-04-30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0.317679</w:t>
            </w:r>
          </w:p>
        </w:tc>
        <w:tc>
          <w:tcPr/>
          <w:p>
            <w:pPr>
              <w:pStyle w:val="Compact"/>
            </w:pPr>
            <w:r>
              <w:t xml:space="preserve">0.328343</w:t>
            </w:r>
          </w:p>
        </w:tc>
        <w:tc>
          <w:tcPr/>
          <w:p>
            <w:pPr>
              <w:pStyle w:val="Compact"/>
            </w:pPr>
            <w:r>
              <w:t xml:space="preserve">0.353978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1990-05-31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0.317679</w:t>
            </w:r>
          </w:p>
        </w:tc>
        <w:tc>
          <w:tcPr/>
          <w:p>
            <w:pPr>
              <w:pStyle w:val="Compact"/>
            </w:pPr>
            <w:r>
              <w:t xml:space="preserve">0.328343</w:t>
            </w:r>
          </w:p>
        </w:tc>
        <w:tc>
          <w:tcPr/>
          <w:p>
            <w:pPr>
              <w:pStyle w:val="Compact"/>
            </w:pPr>
            <w:r>
              <w:t xml:space="preserve">0.353978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1990-06-30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0.317679</w:t>
            </w:r>
          </w:p>
        </w:tc>
        <w:tc>
          <w:tcPr/>
          <w:p>
            <w:pPr>
              <w:pStyle w:val="Compact"/>
            </w:pPr>
            <w:r>
              <w:t xml:space="preserve">0.328343</w:t>
            </w:r>
          </w:p>
        </w:tc>
        <w:tc>
          <w:tcPr/>
          <w:p>
            <w:pPr>
              <w:pStyle w:val="Compact"/>
            </w:pPr>
            <w:r>
              <w:t xml:space="preserve">0.353978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1990-07-31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0.317679</w:t>
            </w:r>
          </w:p>
        </w:tc>
        <w:tc>
          <w:tcPr/>
          <w:p>
            <w:pPr>
              <w:pStyle w:val="Compact"/>
            </w:pPr>
            <w:r>
              <w:t xml:space="preserve">0.328343</w:t>
            </w:r>
          </w:p>
        </w:tc>
        <w:tc>
          <w:tcPr/>
          <w:p>
            <w:pPr>
              <w:pStyle w:val="Compact"/>
            </w:pPr>
            <w:r>
              <w:t xml:space="preserve">0.353978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Available model weight files: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validate_target_weights(weights, asset_cols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ASSET_COLS):</w:t>
      </w:r>
      <w:r>
        <w:br/>
      </w:r>
      <w:r>
        <w:rPr>
          <w:rStyle w:val="NormalTok"/>
        </w:rPr>
        <w:t xml:space="preserve">    required_cols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"regime_label"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asset_cols</w:t>
      </w:r>
      <w:r>
        <w:br/>
      </w:r>
      <w:r>
        <w:rPr>
          <w:rStyle w:val="NormalTok"/>
        </w:rPr>
        <w:t xml:space="preserve">    missing_cols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required_cols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weights.columns]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missing_cols: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required columns after renaming: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missing_cols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weights[asset_cols].isna().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weights contain missing values."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weight_sums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weights[asset_cols].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np.allclose(weight_sums,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bad_rows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weights.loc[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np.isclose(weight_sums,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"Some target-weight rows do not sum to 1.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f"Example rows: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bad_rows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head()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(weights[asset_cols]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bad_rows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weights.loc[(weights[asset_cols]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"Some target weights are negative.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f"Example rows: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bad_rows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head()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weights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model_weights.items():</w:t>
      </w:r>
      <w:r>
        <w:br/>
      </w:r>
      <w:r>
        <w:rPr>
          <w:rStyle w:val="NormalTok"/>
        </w:rPr>
        <w:t xml:space="preserve">    validate_target_weights(weights)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target weights passed validation."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(model_weights)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model target-weight files were found.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"Please make sure hmm_target_weights.csv and/or msvar_target_weights.csv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"exist in outputs/tables before running this notebook."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HMM target weights passed validation.</w:t>
      </w:r>
      <w:r>
        <w:br/>
      </w:r>
      <w:r>
        <w:rPr>
          <w:rStyle w:val="VerbatimChar"/>
        </w:rPr>
        <w:t xml:space="preserve">MSVAR target weights passed validation.</w:t>
      </w:r>
    </w:p>
    <w:bookmarkEnd w:id="21"/>
    <w:bookmarkStart w:id="22" w:name="benchmarks"/>
    <w:p>
      <w:pPr>
        <w:pStyle w:val="Heading2"/>
      </w:pPr>
      <w:r>
        <w:t xml:space="preserve">Benchmarks</w:t>
      </w:r>
    </w:p>
    <w:p>
      <w:pPr>
        <w:pStyle w:val="FirstParagraph"/>
      </w:pPr>
      <w:r>
        <w:t xml:space="preserve">The project benchmarks are constructed inside this notebook so that all strategies are evaluated under the same return and transaction-cost assumptions.</w:t>
      </w:r>
    </w:p>
    <w:p>
      <w:pPr>
        <w:pStyle w:val="BodyText"/>
      </w:pPr>
      <w:r>
        <w:t xml:space="preserve">Benchmarks:</w:t>
      </w:r>
    </w:p>
    <w:p>
      <w:pPr>
        <w:pStyle w:val="Compact"/>
        <w:numPr>
          <w:ilvl w:val="0"/>
          <w:numId w:val="1003"/>
        </w:numPr>
      </w:pPr>
      <w:r>
        <w:t xml:space="preserve">60/40 equity-bond portfolio, monthly rebalanced</w:t>
      </w:r>
    </w:p>
    <w:p>
      <w:pPr>
        <w:pStyle w:val="Compact"/>
        <w:numPr>
          <w:ilvl w:val="0"/>
          <w:numId w:val="1003"/>
        </w:numPr>
      </w:pPr>
      <w:r>
        <w:t xml:space="preserve">Equal-weight portfolio across equity, bonds, and gold, monthly rebalanced</w:t>
      </w:r>
    </w:p>
    <w:p>
      <w:pPr>
        <w:pStyle w:val="Compact"/>
        <w:numPr>
          <w:ilvl w:val="0"/>
          <w:numId w:val="1003"/>
        </w:numPr>
      </w:pPr>
      <w:r>
        <w:t xml:space="preserve">Buy-and-hold equity portfolio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build_constant_weights(index, equity_weight, bond_weight, gold_weight, regime_label):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"regime_label"</w:t>
      </w:r>
      <w:r>
        <w:rPr>
          <w:rStyle w:val="NormalTok"/>
        </w:rPr>
        <w:t xml:space="preserve">: regime_label,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: equity_weight,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: bond_weight,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: gold_weight,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benchmark_weights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"60_40"</w:t>
      </w:r>
      <w:r>
        <w:rPr>
          <w:rStyle w:val="NormalTok"/>
        </w:rPr>
        <w:t xml:space="preserve">: build_constant_weights(</w:t>
      </w:r>
      <w:r>
        <w:br/>
      </w:r>
      <w:r>
        <w:rPr>
          <w:rStyle w:val="NormalTok"/>
        </w:rPr>
        <w:t xml:space="preserve">        asset_returns.index,</w:t>
      </w:r>
      <w:r>
        <w:br/>
      </w:r>
      <w:r>
        <w:rPr>
          <w:rStyle w:val="NormalTok"/>
        </w:rPr>
        <w:t xml:space="preserve">        equity_weight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bond_weight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gold_weight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regime_label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"60_40"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"Equal_Weight"</w:t>
      </w:r>
      <w:r>
        <w:rPr>
          <w:rStyle w:val="NormalTok"/>
        </w:rPr>
        <w:t xml:space="preserve">: build_constant_weights(</w:t>
      </w:r>
      <w:r>
        <w:br/>
      </w:r>
      <w:r>
        <w:rPr>
          <w:rStyle w:val="NormalTok"/>
        </w:rPr>
        <w:t xml:space="preserve">        asset_returns.index,</w:t>
      </w:r>
      <w:r>
        <w:br/>
      </w:r>
      <w:r>
        <w:rPr>
          <w:rStyle w:val="NormalTok"/>
        </w:rPr>
        <w:t xml:space="preserve">        equity_weight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bond_weight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gold_weight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regime_label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"Equal_Weight"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"Buy_Hold_Equity"</w:t>
      </w:r>
      <w:r>
        <w:rPr>
          <w:rStyle w:val="NormalTok"/>
        </w:rPr>
        <w:t xml:space="preserve">: build_constant_weights(</w:t>
      </w:r>
      <w:r>
        <w:br/>
      </w:r>
      <w:r>
        <w:rPr>
          <w:rStyle w:val="NormalTok"/>
        </w:rPr>
        <w:t xml:space="preserve">        asset_returns.index,</w:t>
      </w:r>
      <w:r>
        <w:br/>
      </w:r>
      <w:r>
        <w:rPr>
          <w:rStyle w:val="NormalTok"/>
        </w:rPr>
        <w:t xml:space="preserve">        equity_weight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bond_weight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gold_weight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regime_label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"Buy_Hold_Equity"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NormalTok"/>
        </w:rPr>
        <w:t xml:space="preserve">(benchmark_weights.keys())</w:t>
      </w:r>
    </w:p>
    <w:p>
      <w:pPr>
        <w:pStyle w:val="SourceCode"/>
      </w:pPr>
      <w:r>
        <w:rPr>
          <w:rStyle w:val="VerbatimChar"/>
        </w:rPr>
        <w:t xml:space="preserve">['60_40', 'Equal_Weight', 'Buy_Hold_Equity']</w:t>
      </w:r>
    </w:p>
    <w:bookmarkEnd w:id="22"/>
    <w:bookmarkStart w:id="23" w:name="backtest-function"/>
    <w:p>
      <w:pPr>
        <w:pStyle w:val="Heading2"/>
      </w:pPr>
      <w:r>
        <w:t xml:space="preserve">Backtest Function</w:t>
      </w:r>
    </w:p>
    <w:p>
      <w:pPr>
        <w:pStyle w:val="FirstParagraph"/>
      </w:pPr>
      <w:r>
        <w:t xml:space="preserve">For HMM and MS-VAR, the notebook applies a one-month lag to target weights. For benchmarks, weights are applied directly because they are not generated by model signals.</w:t>
      </w:r>
    </w:p>
    <w:p>
      <w:pPr>
        <w:pStyle w:val="BodyText"/>
      </w:pPr>
      <w:r>
        <w:t xml:space="preserve">Transaction costs are based on traded notional:</w:t>
      </w:r>
    </w:p>
    <w:p>
      <w:pPr>
        <w:pStyle w:val="BodyText"/>
      </w:pPr>
      <w:r>
        <w:t xml:space="preserve">trade_notional = sum(abs(target_weights - drifted_weights))</w:t>
      </w:r>
    </w:p>
    <w:p>
      <w:pPr>
        <w:pStyle w:val="BodyText"/>
      </w:pPr>
      <w:r>
        <w:t xml:space="preserve">One-way turnover is reported as half of traded notional.</w:t>
      </w:r>
    </w:p>
    <w:p>
      <w:pPr>
        <w:pStyle w:val="BodyText"/>
      </w:pPr>
      <w:r>
        <w:t xml:space="preserve">Initial portfolio setup cost is excluded. After all strategies are backtested, they are aligned to the same realized-return test window before comparison.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backtest_with_transaction_costs(</w:t>
      </w:r>
      <w:r>
        <w:br/>
      </w:r>
      <w:r>
        <w:rPr>
          <w:rStyle w:val="NormalTok"/>
        </w:rPr>
        <w:t xml:space="preserve">    target_weights,</w:t>
      </w:r>
      <w:r>
        <w:br/>
      </w:r>
      <w:r>
        <w:rPr>
          <w:rStyle w:val="NormalTok"/>
        </w:rPr>
        <w:t xml:space="preserve">    asset_returns,</w:t>
      </w:r>
      <w:r>
        <w:br/>
      </w:r>
      <w:r>
        <w:rPr>
          <w:rStyle w:val="NormalTok"/>
        </w:rPr>
        <w:t xml:space="preserve">    transaction_cost_bps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apply_signal_lag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include_initial_trade_cost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target_weights[ASSET_COLS].copy()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asset_returns[ASSET_COLS].copy()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apply_signal_lag: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weights.dropna()</w:t>
      </w:r>
      <w:r>
        <w:br/>
      </w:r>
      <w:r>
        <w:br/>
      </w:r>
      <w:r>
        <w:rPr>
          <w:rStyle w:val="NormalTok"/>
        </w:rPr>
        <w:t xml:space="preserve">    common_index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weights.index.intersection(returns.index)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weights.loc[common_index]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returns.loc[common_index]</w:t>
      </w:r>
      <w:r>
        <w:br/>
      </w:r>
      <w:r>
        <w:br/>
      </w:r>
      <w:r>
        <w:rPr>
          <w:rStyle w:val="NormalTok"/>
        </w:rPr>
        <w:t xml:space="preserve">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previous_target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(common_index):</w:t>
      </w:r>
      <w:r>
        <w:br/>
      </w:r>
      <w:r>
        <w:rPr>
          <w:rStyle w:val="NormalTok"/>
        </w:rPr>
        <w:t xml:space="preserve">        current_target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weights.loc[date]</w:t>
      </w:r>
      <w:r>
        <w:br/>
      </w:r>
      <w:r>
        <w:rPr>
          <w:rStyle w:val="NormalTok"/>
        </w:rPr>
        <w:t xml:space="preserve">        current_returns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returns.loc[date]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include_initial_trade_cost:</w:t>
      </w:r>
      <w:r>
        <w:br/>
      </w:r>
      <w:r>
        <w:rPr>
          <w:rStyle w:val="NormalTok"/>
        </w:rPr>
        <w:t xml:space="preserve">                trade_notional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current_target.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trade_notional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previous_returns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returns.loc[common_index[i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    drifted_weights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previous_target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previous_returns)</w:t>
      </w:r>
      <w:r>
        <w:br/>
      </w:r>
      <w:r>
        <w:rPr>
          <w:rStyle w:val="NormalTok"/>
        </w:rPr>
        <w:t xml:space="preserve">            drifted_weights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drifted_weights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drifted_weights.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trade_notional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drifted_weights).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transaction_cost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trade_notional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transaction_cost_bps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NormalTok"/>
        </w:rPr>
        <w:t xml:space="preserve">        gross_return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current_returns).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net_return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gross_return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transaction_cost</w:t>
      </w:r>
      <w:r>
        <w:br/>
      </w:r>
      <w:r>
        <w:br/>
      </w:r>
      <w:r>
        <w:rPr>
          <w:rStyle w:val="NormalTok"/>
        </w:rPr>
        <w:t xml:space="preserve">        records.append({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"gross_return"</w:t>
      </w:r>
      <w:r>
        <w:rPr>
          <w:rStyle w:val="NormalTok"/>
        </w:rPr>
        <w:t xml:space="preserve">: gross_return,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: net_return,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"trade_notional"</w:t>
      </w:r>
      <w:r>
        <w:rPr>
          <w:rStyle w:val="NormalTok"/>
        </w:rPr>
        <w:t xml:space="preserve">: trade_notional,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"one_way_turnover"</w:t>
      </w:r>
      <w:r>
        <w:rPr>
          <w:rStyle w:val="NormalTok"/>
        </w:rPr>
        <w:t xml:space="preserve">: trade_notional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"transaction_cost"</w:t>
      </w:r>
      <w:r>
        <w:rPr>
          <w:rStyle w:val="NormalTok"/>
        </w:rPr>
        <w:t xml:space="preserve">: transaction_cost,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"index_fund_weight"</w:t>
      </w:r>
      <w:r>
        <w:rPr>
          <w:rStyle w:val="NormalTok"/>
        </w:rPr>
        <w:t xml:space="preserve">: current_target[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"treasury_fund_weight"</w:t>
      </w:r>
      <w:r>
        <w:rPr>
          <w:rStyle w:val="NormalTok"/>
        </w:rPr>
        <w:t xml:space="preserve">: current_target[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"gold_fund_weight"</w:t>
      </w:r>
      <w:r>
        <w:rPr>
          <w:rStyle w:val="NormalTok"/>
        </w:rPr>
        <w:t xml:space="preserve">: current_target[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previous_target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current_target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pd.DataFrame(records).set_index(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Restrict model target weights to the test signal periods.</w:t>
      </w:r>
      <w:r>
        <w:br/>
      </w:r>
      <w:r>
        <w:rPr>
          <w:rStyle w:val="NormalTok"/>
        </w:rPr>
        <w:t xml:space="preserve">model_weights_test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weights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model_weights.items():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MODEL_SIGNAL_START_DATES: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test signal start date defined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signal_start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MODEL_SIGNAL_START_DATES[model_name]</w:t>
      </w:r>
      <w:r>
        <w:br/>
      </w:r>
      <w:r>
        <w:rPr>
          <w:rStyle w:val="NormalTok"/>
        </w:rPr>
        <w:t xml:space="preserve">    model_weights_test[model_name]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weights.loc[weights.index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signal_start].copy()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signal test period starts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signal_start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f"with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(model_weights_test[model_name])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signal observations."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Benchmarks do not have signal start dates.</w:t>
      </w:r>
      <w:r>
        <w:br/>
      </w:r>
      <w:r>
        <w:rPr>
          <w:rStyle w:val="CommentTok"/>
        </w:rPr>
        <w:t xml:space="preserve"># They are created over the full asset-return index and later aligned to the same test window.</w:t>
      </w:r>
      <w:r>
        <w:br/>
      </w:r>
      <w:r>
        <w:rPr>
          <w:rStyle w:val="NormalTok"/>
        </w:rPr>
        <w:t xml:space="preserve">all_target_weights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all_target_weights.update(model_weights_test)</w:t>
      </w:r>
      <w:r>
        <w:br/>
      </w:r>
      <w:r>
        <w:rPr>
          <w:rStyle w:val="NormalTok"/>
        </w:rPr>
        <w:t xml:space="preserve">all_target_weights.update(benchmark_weights)</w:t>
      </w:r>
      <w:r>
        <w:br/>
      </w:r>
      <w:r>
        <w:br/>
      </w:r>
      <w:r>
        <w:rPr>
          <w:rStyle w:val="NormalTok"/>
        </w:rPr>
        <w:t xml:space="preserve">cost_results_raw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weights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all_target_weights.items():</w:t>
      </w:r>
      <w:r>
        <w:br/>
      </w:r>
      <w:r>
        <w:rPr>
          <w:rStyle w:val="NormalTok"/>
        </w:rPr>
        <w:t xml:space="preserve">    is_model_strategy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model_weights_test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backtest_with_transaction_costs(</w:t>
      </w:r>
      <w:r>
        <w:br/>
      </w:r>
      <w:r>
        <w:rPr>
          <w:rStyle w:val="NormalTok"/>
        </w:rPr>
        <w:t xml:space="preserve">        target_weights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weights,</w:t>
      </w:r>
      <w:r>
        <w:br/>
      </w:r>
      <w:r>
        <w:rPr>
          <w:rStyle w:val="NormalTok"/>
        </w:rPr>
        <w:t xml:space="preserve">        asset_returns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asset_returns,</w:t>
      </w:r>
      <w:r>
        <w:br/>
      </w:r>
      <w:r>
        <w:rPr>
          <w:rStyle w:val="NormalTok"/>
        </w:rPr>
        <w:t xml:space="preserve">        transaction_cost_bps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TRANSACTION_COST_BPS,</w:t>
      </w:r>
      <w:r>
        <w:br/>
      </w:r>
      <w:r>
        <w:rPr>
          <w:rStyle w:val="NormalTok"/>
        </w:rPr>
        <w:t xml:space="preserve">        apply_signal_lag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is_model_strategy,</w:t>
      </w:r>
      <w:r>
        <w:br/>
      </w:r>
      <w:r>
        <w:rPr>
          <w:rStyle w:val="NormalTok"/>
        </w:rPr>
        <w:t xml:space="preserve">        include_initial_trade_cost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cost_results_raw[strategy_name]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Align all strategies to the same realized-return comparison period.</w:t>
      </w:r>
      <w:r>
        <w:br/>
      </w:r>
      <w:r>
        <w:rPr>
          <w:rStyle w:val="NormalTok"/>
        </w:rPr>
        <w:t xml:space="preserve">common_result_index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cost_results_raw.values():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common_result_index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common_result_index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result.index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common_result_index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common_result_index.intersection(result.index)</w:t>
      </w:r>
      <w:r>
        <w:br/>
      </w:r>
      <w:r>
        <w:br/>
      </w:r>
      <w:r>
        <w:rPr>
          <w:rStyle w:val="NormalTok"/>
        </w:rPr>
        <w:t xml:space="preserve">cost_results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strategy_name: result.loc[common_result_index].copy()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cost_results_raw.items()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Exclude initial setup cost from the first common return observation for every strategy.</w:t>
      </w:r>
      <w:r>
        <w:br/>
      </w:r>
      <w:r>
        <w:rPr>
          <w:rStyle w:val="CommentTok"/>
        </w:rPr>
        <w:t xml:space="preserve"># This keeps the comparison window consistent.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cost_results.items():</w:t>
      </w:r>
      <w:r>
        <w:br/>
      </w:r>
      <w:r>
        <w:rPr>
          <w:rStyle w:val="NormalTok"/>
        </w:rPr>
        <w:t xml:space="preserve">    first_date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result.loc[first_date, </w:t>
      </w:r>
      <w:r>
        <w:rPr>
          <w:rStyle w:val="StringTok"/>
        </w:rPr>
        <w:t xml:space="preserve">"trade_notional"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result.loc[first_date, </w:t>
      </w:r>
      <w:r>
        <w:rPr>
          <w:rStyle w:val="StringTok"/>
        </w:rPr>
        <w:t xml:space="preserve">"one_way_turnover"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result.loc[first_date, </w:t>
      </w:r>
      <w:r>
        <w:rPr>
          <w:rStyle w:val="StringTok"/>
        </w:rPr>
        <w:t xml:space="preserve">"transaction_cost"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result.loc[first_date, 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result.loc[first_date, </w:t>
      </w:r>
      <w:r>
        <w:rPr>
          <w:rStyle w:val="StringTok"/>
        </w:rPr>
        <w:t xml:space="preserve">"gross_return"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Save aligned monthly results.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cost_results.items():</w:t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_monthly_returns_with_costs.csv"</w:t>
      </w:r>
      <w:r>
        <w:br/>
      </w:r>
      <w:r>
        <w:rPr>
          <w:rStyle w:val="NormalTok"/>
        </w:rPr>
        <w:t xml:space="preserve">    result.to_csv(output_path)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monthly returns with costs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months"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test_period_info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(cost_results.keys()),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"Signal Start Date"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MODEL_SIGNAL_START_DATES.get(strategy_name, pd.NaT)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cost_results.keys()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"Realized Return Start Date"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cost_results[strategy_name].index.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cost_results.keys()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"Realized Return End Date"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cost_results[strategy_name].index.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cost_results.keys()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"Number of Return Observations"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(cost_results[strategy_name])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cost_results.keys()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test_period_info.to_csv(</w:t>
      </w:r>
      <w:r>
        <w:br/>
      </w:r>
      <w:r>
        <w:rPr>
          <w:rStyle w:val="NormalTok"/>
        </w:rPr>
        <w:t xml:space="preserve">   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"test_period_info.csv"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Completed strategies:"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(cost_results.keys()))</w:t>
      </w:r>
      <w:r>
        <w:br/>
      </w:r>
      <w:r>
        <w:br/>
      </w:r>
      <w:r>
        <w:rPr>
          <w:rStyle w:val="NormalTok"/>
        </w:rPr>
        <w:t xml:space="preserve">test_period_info</w:t>
      </w:r>
    </w:p>
    <w:p>
      <w:pPr>
        <w:pStyle w:val="SourceCode"/>
      </w:pPr>
      <w:r>
        <w:rPr>
          <w:rStyle w:val="VerbatimChar"/>
        </w:rPr>
        <w:t xml:space="preserve">HMM signal test period starts at 2018-10-31 with 87 signal observations.</w:t>
      </w:r>
      <w:r>
        <w:br/>
      </w:r>
      <w:r>
        <w:rPr>
          <w:rStyle w:val="VerbatimChar"/>
        </w:rPr>
        <w:t xml:space="preserve">MSVAR signal test period starts at 2018-11-30 with 86 signal observations.</w:t>
      </w:r>
      <w:r>
        <w:br/>
      </w:r>
      <w:r>
        <w:rPr>
          <w:rStyle w:val="VerbatimChar"/>
        </w:rPr>
        <w:t xml:space="preserve">Saved HMM monthly returns with costs to ..\outputs\tables\hmm_monthly_returns_with_costs.csv</w:t>
      </w:r>
      <w:r>
        <w:br/>
      </w:r>
      <w:r>
        <w:rPr>
          <w:rStyle w:val="VerbatimChar"/>
        </w:rPr>
        <w:t xml:space="preserve">HMM: 2018-12-31 to 2025-12-31, 85 months</w:t>
      </w:r>
      <w:r>
        <w:br/>
      </w:r>
      <w:r>
        <w:rPr>
          <w:rStyle w:val="VerbatimChar"/>
        </w:rPr>
        <w:t xml:space="preserve">Saved MSVAR monthly returns with costs to ..\outputs\tables\msvar_monthly_returns_with_costs.csv</w:t>
      </w:r>
      <w:r>
        <w:br/>
      </w:r>
      <w:r>
        <w:rPr>
          <w:rStyle w:val="VerbatimChar"/>
        </w:rPr>
        <w:t xml:space="preserve">MSVAR: 2018-12-31 to 2025-12-31, 85 months</w:t>
      </w:r>
      <w:r>
        <w:br/>
      </w:r>
      <w:r>
        <w:rPr>
          <w:rStyle w:val="VerbatimChar"/>
        </w:rPr>
        <w:t xml:space="preserve">Saved 60_40 monthly returns with costs to ..\outputs\tables\60_40_monthly_returns_with_costs.csv</w:t>
      </w:r>
      <w:r>
        <w:br/>
      </w:r>
      <w:r>
        <w:rPr>
          <w:rStyle w:val="VerbatimChar"/>
        </w:rPr>
        <w:t xml:space="preserve">60_40: 2018-12-31 to 2025-12-31, 85 months</w:t>
      </w:r>
      <w:r>
        <w:br/>
      </w:r>
      <w:r>
        <w:rPr>
          <w:rStyle w:val="VerbatimChar"/>
        </w:rPr>
        <w:t xml:space="preserve">Saved Equal_Weight monthly returns with costs to ..\outputs\tables\equal_weight_monthly_returns_with_costs.csv</w:t>
      </w:r>
      <w:r>
        <w:br/>
      </w:r>
      <w:r>
        <w:rPr>
          <w:rStyle w:val="VerbatimChar"/>
        </w:rPr>
        <w:t xml:space="preserve">Equal_Weight: 2018-12-31 to 2025-12-31, 85 months</w:t>
      </w:r>
      <w:r>
        <w:br/>
      </w:r>
      <w:r>
        <w:rPr>
          <w:rStyle w:val="VerbatimChar"/>
        </w:rPr>
        <w:t xml:space="preserve">Saved Buy_Hold_Equity monthly returns with costs to ..\outputs\tables\buy_hold_equity_monthly_returns_with_costs.csv</w:t>
      </w:r>
      <w:r>
        <w:br/>
      </w:r>
      <w:r>
        <w:rPr>
          <w:rStyle w:val="VerbatimChar"/>
        </w:rPr>
        <w:t xml:space="preserve">Buy_Hold_Equity: 2018-12-31 to 2025-12-31, 85 months</w:t>
      </w:r>
      <w:r>
        <w:br/>
      </w:r>
      <w:r>
        <w:br/>
      </w:r>
      <w:r>
        <w:rPr>
          <w:rStyle w:val="VerbatimChar"/>
        </w:rPr>
        <w:t xml:space="preserve">Completed strategies:</w:t>
      </w:r>
      <w:r>
        <w:br/>
      </w:r>
      <w:r>
        <w:rPr>
          <w:rStyle w:val="VerbatimChar"/>
        </w:rPr>
        <w:t xml:space="preserve">['HMM', 'MSVAR', '60_40', 'Equal_Weight', 'Buy_Hold_Equity']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Signal Start Date</w:t>
            </w:r>
          </w:p>
        </w:tc>
        <w:tc>
          <w:tcPr/>
          <w:p>
            <w:pPr>
              <w:pStyle w:val="Compact"/>
            </w:pPr>
            <w:r>
              <w:t xml:space="preserve">Realized Return Start Date</w:t>
            </w:r>
          </w:p>
        </w:tc>
        <w:tc>
          <w:tcPr/>
          <w:p>
            <w:pPr>
              <w:pStyle w:val="Compact"/>
            </w:pPr>
            <w:r>
              <w:t xml:space="preserve">Realized Return End Date</w:t>
            </w:r>
          </w:p>
        </w:tc>
        <w:tc>
          <w:tcPr/>
          <w:p>
            <w:pPr>
              <w:pStyle w:val="Compact"/>
            </w:pPr>
            <w:r>
              <w:t xml:space="preserve">Number of Return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HMM</w:t>
            </w:r>
          </w:p>
        </w:tc>
        <w:tc>
          <w:tcPr/>
          <w:p>
            <w:pPr>
              <w:pStyle w:val="Compact"/>
            </w:pPr>
            <w:r>
              <w:t xml:space="preserve">2018-10-31</w:t>
            </w:r>
          </w:p>
        </w:tc>
        <w:tc>
          <w:tcPr/>
          <w:p>
            <w:pPr>
              <w:pStyle w:val="Compact"/>
            </w:pPr>
            <w:r>
              <w:t xml:space="preserve">2018-12-31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MSVAR</w:t>
            </w:r>
          </w:p>
        </w:tc>
        <w:tc>
          <w:tcPr/>
          <w:p>
            <w:pPr>
              <w:pStyle w:val="Compact"/>
            </w:pPr>
            <w:r>
              <w:t xml:space="preserve">2018-11-30</w:t>
            </w:r>
          </w:p>
        </w:tc>
        <w:tc>
          <w:tcPr/>
          <w:p>
            <w:pPr>
              <w:pStyle w:val="Compact"/>
            </w:pPr>
            <w:r>
              <w:t xml:space="preserve">2018-12-31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60_40</w:t>
            </w:r>
          </w:p>
        </w:tc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t xml:space="preserve">2018-12-31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Equal_Weight</w:t>
            </w:r>
          </w:p>
        </w:tc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t xml:space="preserve">2018-12-31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Buy_Hold_Equity</w:t>
            </w:r>
          </w:p>
        </w:tc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t xml:space="preserve">2018-12-31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</w:tbl>
    <w:bookmarkEnd w:id="23"/>
    <w:bookmarkStart w:id="27" w:name="performance-metrics"/>
    <w:p>
      <w:pPr>
        <w:pStyle w:val="Heading2"/>
      </w:pPr>
      <w:r>
        <w:t xml:space="preserve">Performance Metrics</w:t>
      </w:r>
    </w:p>
    <w:p>
      <w:pPr>
        <w:pStyle w:val="FirstParagraph"/>
      </w:pPr>
      <w:r>
        <w:t xml:space="preserve">The main strategy comparison uses net returns after transaction costs. This is the primary table for comparing HMM, MS-VAR, and the benchmarks over the common test period.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annualized_return(monthly_returns):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monthly_returns).prod()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(monthly_returns))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annualized_volatility(monthly_returns):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monthly_returns.std()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sharpe_ratio(monthly_returns, risk_free_rate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excess_returns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monthly_returns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risk_free_rate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excess_returns.std()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excess_returns.mean()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excess_returns.std()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sortino_ratio(monthly_returns, target_return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downside_returns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monthly_returns[monthly_returns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target_return]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(downside_returns)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downside_returns.std()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(monthly_returns.mean()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target_return)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downside_returns.std()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max_drawdown(monthly_returns):</w:t>
      </w:r>
      <w:r>
        <w:br/>
      </w:r>
      <w:r>
        <w:rPr>
          <w:rStyle w:val="NormalTok"/>
        </w:rPr>
        <w:t xml:space="preserve">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monthly_returns).cumprod()</w:t>
      </w:r>
      <w:r>
        <w:br/>
      </w:r>
      <w:r>
        <w:rPr>
          <w:rStyle w:val="NormalTok"/>
        </w:rPr>
        <w:t xml:space="preserve">    running_max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cumulative.cummax()</w:t>
      </w:r>
      <w:r>
        <w:br/>
      </w:r>
      <w:r>
        <w:rPr>
          <w:rStyle w:val="NormalTok"/>
        </w:rPr>
        <w:t xml:space="preserve">    drawdown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cumulative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running_max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drawdown.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information_ratio(monthly_returns, benchmark_returns):</w:t>
      </w:r>
      <w:r>
        <w:br/>
      </w:r>
      <w:r>
        <w:rPr>
          <w:rStyle w:val="NormalTok"/>
        </w:rPr>
        <w:t xml:space="preserve">    common_index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monthly_returns.index.intersection(benchmark_returns.index)</w:t>
      </w:r>
      <w:r>
        <w:br/>
      </w:r>
      <w:r>
        <w:rPr>
          <w:rStyle w:val="NormalTok"/>
        </w:rPr>
        <w:t xml:space="preserve">    active_returns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monthly_returns.loc[common_index]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benchmark_returns.loc[common_index]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active_returns.std()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active_returns.mean()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active_returns.std()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summarize_performance(monthly_returns, benchmark_returns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"Annualized Return"</w:t>
      </w:r>
      <w:r>
        <w:rPr>
          <w:rStyle w:val="NormalTok"/>
        </w:rPr>
        <w:t xml:space="preserve">: annualized_return(monthly_returns),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"Annualized Volatility"</w:t>
      </w:r>
      <w:r>
        <w:rPr>
          <w:rStyle w:val="NormalTok"/>
        </w:rPr>
        <w:t xml:space="preserve">: annualized_volatility(monthly_returns),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"Sharpe Ratio"</w:t>
      </w:r>
      <w:r>
        <w:rPr>
          <w:rStyle w:val="NormalTok"/>
        </w:rPr>
        <w:t xml:space="preserve">: sharpe_ratio(monthly_returns),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"Sortino Ratio"</w:t>
      </w:r>
      <w:r>
        <w:rPr>
          <w:rStyle w:val="NormalTok"/>
        </w:rPr>
        <w:t xml:space="preserve">: sortino_ratio(monthly_returns),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 Drawdown"</w:t>
      </w:r>
      <w:r>
        <w:rPr>
          <w:rStyle w:val="NormalTok"/>
        </w:rPr>
        <w:t xml:space="preserve">: max_drawdown(monthly_returns),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benchmark_returns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summary[</w:t>
      </w:r>
      <w:r>
        <w:rPr>
          <w:rStyle w:val="StringTok"/>
        </w:rPr>
        <w:t xml:space="preserve">"Information Ratio vs 60/40"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information_ratio(</w:t>
      </w:r>
      <w:r>
        <w:br/>
      </w:r>
      <w:r>
        <w:rPr>
          <w:rStyle w:val="NormalTok"/>
        </w:rPr>
        <w:t xml:space="preserve">            monthly_returns,</w:t>
      </w:r>
      <w:r>
        <w:br/>
      </w:r>
      <w:r>
        <w:rPr>
          <w:rStyle w:val="NormalTok"/>
        </w:rPr>
        <w:t xml:space="preserve">            benchmark_returns,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pd.Series(summary)</w:t>
      </w:r>
    </w:p>
    <w:p>
      <w:pPr>
        <w:pStyle w:val="SourceCode"/>
      </w:pPr>
      <w:r>
        <w:rPr>
          <w:rStyle w:val="NormalTok"/>
        </w:rPr>
        <w:t xml:space="preserve">benchmark_reference_net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cost_results[</w:t>
      </w:r>
      <w:r>
        <w:rPr>
          <w:rStyle w:val="StringTok"/>
        </w:rPr>
        <w:t xml:space="preserve">"60_40"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net_strategy_comparison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strategy_name: summarize_performance(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benchmark_returns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"60_40"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benchmark_reference_net,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cost_results.items()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metric_order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"Annualized Return"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"Annualized Volatility"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"Sharpe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"Sortino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 Drawdown"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"Information Ratio vs 60/40"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net_strategy_comparison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net_strategy_comparison.reindex(</w:t>
      </w:r>
      <w:r>
        <w:br/>
      </w:r>
      <w:r>
        <w:rPr>
          <w:rStyle w:val="NormalTok"/>
        </w:rPr>
        <w:t xml:space="preserve">    [metric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metric_order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net_strategy_comparison.index]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net_strategy_comparison.to_csv(</w:t>
      </w:r>
      <w:r>
        <w:br/>
      </w:r>
      <w:r>
        <w:rPr>
          <w:rStyle w:val="NormalTok"/>
        </w:rPr>
        <w:t xml:space="preserve">   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"net_after_cost_strategy_comparison.csv"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net_strategy_comparison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HMM</w:t>
            </w:r>
          </w:p>
        </w:tc>
        <w:tc>
          <w:tcPr/>
          <w:p>
            <w:pPr>
              <w:pStyle w:val="Compact"/>
            </w:pPr>
            <w:r>
              <w:t xml:space="preserve">MSVAR</w:t>
            </w:r>
          </w:p>
        </w:tc>
        <w:tc>
          <w:tcPr/>
          <w:p>
            <w:pPr>
              <w:pStyle w:val="Compact"/>
            </w:pPr>
            <w:r>
              <w:t xml:space="preserve">60_40</w:t>
            </w:r>
          </w:p>
        </w:tc>
        <w:tc>
          <w:tcPr/>
          <w:p>
            <w:pPr>
              <w:pStyle w:val="Compact"/>
            </w:pPr>
            <w:r>
              <w:t xml:space="preserve">Equal_Weight</w:t>
            </w:r>
          </w:p>
        </w:tc>
        <w:tc>
          <w:tcPr/>
          <w:p>
            <w:pPr>
              <w:pStyle w:val="Compact"/>
            </w:pPr>
            <w:r>
              <w:t xml:space="preserve">Buy_Hold_Equity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Return</w:t>
            </w:r>
          </w:p>
        </w:tc>
        <w:tc>
          <w:tcPr/>
          <w:p>
            <w:pPr>
              <w:pStyle w:val="Compact"/>
            </w:pPr>
            <w:r>
              <w:t xml:space="preserve">0.104933</w:t>
            </w:r>
          </w:p>
        </w:tc>
        <w:tc>
          <w:tcPr/>
          <w:p>
            <w:pPr>
              <w:pStyle w:val="Compact"/>
            </w:pPr>
            <w:r>
              <w:t xml:space="preserve">0.120785</w:t>
            </w:r>
          </w:p>
        </w:tc>
        <w:tc>
          <w:tcPr/>
          <w:p>
            <w:pPr>
              <w:pStyle w:val="Compact"/>
            </w:pPr>
            <w:r>
              <w:t xml:space="preserve">0.101011</w:t>
            </w:r>
          </w:p>
        </w:tc>
        <w:tc>
          <w:tcPr/>
          <w:p>
            <w:pPr>
              <w:pStyle w:val="Compact"/>
            </w:pPr>
            <w:r>
              <w:t xml:space="preserve">0.121807</w:t>
            </w:r>
          </w:p>
        </w:tc>
        <w:tc>
          <w:tcPr/>
          <w:p>
            <w:pPr>
              <w:pStyle w:val="Compact"/>
            </w:pPr>
            <w:r>
              <w:t xml:space="preserve">0.154681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Volatility</w:t>
            </w:r>
          </w:p>
        </w:tc>
        <w:tc>
          <w:tcPr/>
          <w:p>
            <w:pPr>
              <w:pStyle w:val="Compact"/>
            </w:pPr>
            <w:r>
              <w:t xml:space="preserve">0.101296</w:t>
            </w:r>
          </w:p>
        </w:tc>
        <w:tc>
          <w:tcPr/>
          <w:p>
            <w:pPr>
              <w:pStyle w:val="Compact"/>
            </w:pPr>
            <w:r>
              <w:t xml:space="preserve">0.095278</w:t>
            </w:r>
          </w:p>
        </w:tc>
        <w:tc>
          <w:tcPr/>
          <w:p>
            <w:pPr>
              <w:pStyle w:val="Compact"/>
            </w:pPr>
            <w:r>
              <w:t xml:space="preserve">0.126502</w:t>
            </w:r>
          </w:p>
        </w:tc>
        <w:tc>
          <w:tcPr/>
          <w:p>
            <w:pPr>
              <w:pStyle w:val="Compact"/>
            </w:pPr>
            <w:r>
              <w:t xml:space="preserve">0.096629</w:t>
            </w:r>
          </w:p>
        </w:tc>
        <w:tc>
          <w:tcPr/>
          <w:p>
            <w:pPr>
              <w:pStyle w:val="Compact"/>
            </w:pPr>
            <w:r>
              <w:t xml:space="preserve">0.169815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</w:pPr>
            <w:r>
              <w:t xml:space="preserve">1.039030</w:t>
            </w:r>
          </w:p>
        </w:tc>
        <w:tc>
          <w:tcPr/>
          <w:p>
            <w:pPr>
              <w:pStyle w:val="Compact"/>
            </w:pPr>
            <w:r>
              <w:t xml:space="preserve">1.249356</w:t>
            </w:r>
          </w:p>
        </w:tc>
        <w:tc>
          <w:tcPr/>
          <w:p>
            <w:pPr>
              <w:pStyle w:val="Compact"/>
            </w:pPr>
            <w:r>
              <w:t xml:space="preserve">0.826329</w:t>
            </w:r>
          </w:p>
        </w:tc>
        <w:tc>
          <w:tcPr/>
          <w:p>
            <w:pPr>
              <w:pStyle w:val="Compact"/>
            </w:pPr>
            <w:r>
              <w:t xml:space="preserve">1.242733</w:t>
            </w:r>
          </w:p>
        </w:tc>
        <w:tc>
          <w:tcPr/>
          <w:p>
            <w:pPr>
              <w:pStyle w:val="Compact"/>
            </w:pPr>
            <w:r>
              <w:t xml:space="preserve">0.936382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1.673645</w:t>
            </w:r>
          </w:p>
        </w:tc>
        <w:tc>
          <w:tcPr/>
          <w:p>
            <w:pPr>
              <w:pStyle w:val="Compact"/>
            </w:pPr>
            <w:r>
              <w:t xml:space="preserve">2.013955</w:t>
            </w:r>
          </w:p>
        </w:tc>
        <w:tc>
          <w:tcPr/>
          <w:p>
            <w:pPr>
              <w:pStyle w:val="Compact"/>
            </w:pPr>
            <w:r>
              <w:t xml:space="preserve">1.391770</w:t>
            </w:r>
          </w:p>
        </w:tc>
        <w:tc>
          <w:tcPr/>
          <w:p>
            <w:pPr>
              <w:pStyle w:val="Compact"/>
            </w:pPr>
            <w:r>
              <w:t xml:space="preserve">2.042823</w:t>
            </w:r>
          </w:p>
        </w:tc>
        <w:tc>
          <w:tcPr/>
          <w:p>
            <w:pPr>
              <w:pStyle w:val="Compact"/>
            </w:pPr>
            <w:r>
              <w:t xml:space="preserve">1.428339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</w:pPr>
            <w:r>
              <w:t xml:space="preserve">-0.219934</w:t>
            </w:r>
          </w:p>
        </w:tc>
        <w:tc>
          <w:tcPr/>
          <w:p>
            <w:pPr>
              <w:pStyle w:val="Compact"/>
            </w:pPr>
            <w:r>
              <w:t xml:space="preserve">-0.195660</w:t>
            </w:r>
          </w:p>
        </w:tc>
        <w:tc>
          <w:tcPr/>
          <w:p>
            <w:pPr>
              <w:pStyle w:val="Compact"/>
            </w:pPr>
            <w:r>
              <w:t xml:space="preserve">-0.257392</w:t>
            </w:r>
          </w:p>
        </w:tc>
        <w:tc>
          <w:tcPr/>
          <w:p>
            <w:pPr>
              <w:pStyle w:val="Compact"/>
            </w:pPr>
            <w:r>
              <w:t xml:space="preserve">-0.196336</w:t>
            </w:r>
          </w:p>
        </w:tc>
        <w:tc>
          <w:tcPr/>
          <w:p>
            <w:pPr>
              <w:pStyle w:val="Compact"/>
            </w:pPr>
            <w:r>
              <w:t xml:space="preserve">-0.239596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Ratio vs 60/40</w:t>
            </w:r>
          </w:p>
        </w:tc>
        <w:tc>
          <w:tcPr/>
          <w:p>
            <w:pPr>
              <w:pStyle w:val="Compact"/>
            </w:pPr>
            <w:r>
              <w:t xml:space="preserve">0.012543</w:t>
            </w:r>
          </w:p>
        </w:tc>
        <w:tc>
          <w:tcPr/>
          <w:p>
            <w:pPr>
              <w:pStyle w:val="Compact"/>
            </w:pPr>
            <w:r>
              <w:t xml:space="preserve">0.226197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0.260099</w:t>
            </w:r>
          </w:p>
        </w:tc>
        <w:tc>
          <w:tcPr/>
          <w:p>
            <w:pPr>
              <w:pStyle w:val="Compact"/>
            </w:pPr>
            <w:r>
              <w:t xml:space="preserve">0.683755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net_return_series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strategy_name: result[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cost_results.items()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net_cumulative_returns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net_return_series).cumprod()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net_cumulative_returns.to_csv(</w:t>
      </w:r>
      <w:r>
        <w:br/>
      </w:r>
      <w:r>
        <w:rPr>
          <w:rStyle w:val="NormalTok"/>
        </w:rPr>
        <w:t xml:space="preserve">   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"net_after_cost_cumulative_returns.csv"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net_cumulative_returns.columns:</w:t>
      </w:r>
      <w:r>
        <w:br/>
      </w:r>
      <w:r>
        <w:rPr>
          <w:rStyle w:val="NormalTok"/>
        </w:rPr>
        <w:t xml:space="preserve">    plt.plot(net_cumulative_returns.index, net_cumulative_returns[col],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"Strategy Comparison: Net Performance After Transaction Costs"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"Cumulative Return"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NormalTok"/>
        </w:rPr>
        <w:t xml:space="preserve">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OUTPUT_FIGURES_DIR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"net_after_cost_strategy_comparison.png"</w:t>
      </w:r>
      <w:r>
        <w:br/>
      </w:r>
      <w:r>
        <w:rPr>
          <w:rStyle w:val="NormalTok"/>
        </w:rPr>
        <w:t xml:space="preserve">plt.savefig(output_path,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figure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1-outpu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..\outputs\figures\net_after_cost_strategy_comparison.png</w:t>
      </w:r>
    </w:p>
    <w:p>
      <w:pPr>
        <w:pStyle w:val="SourceCode"/>
      </w:pPr>
      <w:r>
        <w:rPr>
          <w:rStyle w:val="NormalTok"/>
        </w:rPr>
        <w:t xml:space="preserve">ranking_metrics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"Annualized Return"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"Sharpe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"Sortino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 Drawdown"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"Information Ratio vs 60/40"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strategy_ranking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net_strategy_comparison.loc[</w:t>
      </w:r>
      <w:r>
        <w:br/>
      </w:r>
      <w:r>
        <w:rPr>
          <w:rStyle w:val="NormalTok"/>
        </w:rPr>
        <w:t xml:space="preserve">    [metric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ranking_metrics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net_strategy_comparison.index]</w:t>
      </w:r>
      <w:r>
        <w:br/>
      </w:r>
      <w:r>
        <w:rPr>
          <w:rStyle w:val="NormalTok"/>
        </w:rPr>
        <w:t xml:space="preserve">].T</w:t>
      </w:r>
      <w:r>
        <w:br/>
      </w:r>
      <w:r>
        <w:br/>
      </w:r>
      <w:r>
        <w:rPr>
          <w:rStyle w:val="NormalTok"/>
        </w:rPr>
        <w:t xml:space="preserve">strategy_ranking[</w:t>
      </w:r>
      <w:r>
        <w:rPr>
          <w:rStyle w:val="StringTok"/>
        </w:rPr>
        <w:t xml:space="preserve">"Return Rank"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strategy_ranking[</w:t>
      </w:r>
      <w:r>
        <w:rPr>
          <w:rStyle w:val="StringTok"/>
        </w:rPr>
        <w:t xml:space="preserve">"Annualized Return"</w:t>
      </w:r>
      <w:r>
        <w:rPr>
          <w:rStyle w:val="NormalTok"/>
        </w:rPr>
        <w:t xml:space="preserve">].rank(ascending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strategy_ranking[</w:t>
      </w:r>
      <w:r>
        <w:rPr>
          <w:rStyle w:val="StringTok"/>
        </w:rPr>
        <w:t xml:space="preserve">"Sharpe Rank"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strategy_ranking[</w:t>
      </w:r>
      <w:r>
        <w:rPr>
          <w:rStyle w:val="StringTok"/>
        </w:rPr>
        <w:t xml:space="preserve">"Sharpe Ratio"</w:t>
      </w:r>
      <w:r>
        <w:rPr>
          <w:rStyle w:val="NormalTok"/>
        </w:rPr>
        <w:t xml:space="preserve">].rank(ascending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strategy_ranking[</w:t>
      </w:r>
      <w:r>
        <w:rPr>
          <w:rStyle w:val="StringTok"/>
        </w:rPr>
        <w:t xml:space="preserve">"Sortino Rank"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strategy_ranking[</w:t>
      </w:r>
      <w:r>
        <w:rPr>
          <w:rStyle w:val="StringTok"/>
        </w:rPr>
        <w:t xml:space="preserve">"Sortino Ratio"</w:t>
      </w:r>
      <w:r>
        <w:rPr>
          <w:rStyle w:val="NormalTok"/>
        </w:rPr>
        <w:t xml:space="preserve">].rank(ascending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Max drawdown is better when it is less negative.</w:t>
      </w:r>
      <w:r>
        <w:br/>
      </w:r>
      <w:r>
        <w:rPr>
          <w:rStyle w:val="NormalTok"/>
        </w:rPr>
        <w:t xml:space="preserve">strategy_ranking[</w:t>
      </w:r>
      <w:r>
        <w:rPr>
          <w:rStyle w:val="StringTok"/>
        </w:rPr>
        <w:t xml:space="preserve">"Drawdown Rank"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strategy_ranking[</w:t>
      </w:r>
      <w:r>
        <w:rPr>
          <w:rStyle w:val="StringTok"/>
        </w:rPr>
        <w:t xml:space="preserve">"Max Drawdown"</w:t>
      </w:r>
      <w:r>
        <w:rPr>
          <w:rStyle w:val="NormalTok"/>
        </w:rPr>
        <w:t xml:space="preserve">].rank(ascending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strategy_ranking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strategy_ranking.sort_values(</w:t>
      </w:r>
      <w:r>
        <w:rPr>
          <w:rStyle w:val="StringTok"/>
        </w:rPr>
        <w:t xml:space="preserve">"Sharpe Rank"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strategy_ranking.to_csv(</w:t>
      </w:r>
      <w:r>
        <w:br/>
      </w:r>
      <w:r>
        <w:rPr>
          <w:rStyle w:val="NormalTok"/>
        </w:rPr>
        <w:t xml:space="preserve">   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"net_after_cost_strategy_ranking.csv"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strategy_ranking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Annualized Return</w:t>
            </w:r>
          </w:p>
        </w:tc>
        <w:tc>
          <w:tcPr/>
          <w:p>
            <w:pPr>
              <w:pStyle w:val="Compac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</w:pPr>
            <w:r>
              <w:t xml:space="preserve">Information Ratio vs 60/40</w:t>
            </w:r>
          </w:p>
        </w:tc>
        <w:tc>
          <w:tcPr/>
          <w:p>
            <w:pPr>
              <w:pStyle w:val="Compact"/>
            </w:pPr>
            <w:r>
              <w:t xml:space="preserve">Return Rank</w:t>
            </w:r>
          </w:p>
        </w:tc>
        <w:tc>
          <w:tcPr/>
          <w:p>
            <w:pPr>
              <w:pStyle w:val="Compact"/>
            </w:pPr>
            <w:r>
              <w:t xml:space="preserve">Sharpe Rank</w:t>
            </w:r>
          </w:p>
        </w:tc>
        <w:tc>
          <w:tcPr/>
          <w:p>
            <w:pPr>
              <w:pStyle w:val="Compact"/>
            </w:pPr>
            <w:r>
              <w:t xml:space="preserve">Sortino Rank</w:t>
            </w:r>
          </w:p>
        </w:tc>
        <w:tc>
          <w:tcPr/>
          <w:p>
            <w:pPr>
              <w:pStyle w:val="Compact"/>
            </w:pPr>
            <w:r>
              <w:t xml:space="preserve">Drawdown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MSVAR</w:t>
            </w:r>
          </w:p>
        </w:tc>
        <w:tc>
          <w:tcPr/>
          <w:p>
            <w:pPr>
              <w:pStyle w:val="Compact"/>
            </w:pPr>
            <w:r>
              <w:t xml:space="preserve">0.120785</w:t>
            </w:r>
          </w:p>
        </w:tc>
        <w:tc>
          <w:tcPr/>
          <w:p>
            <w:pPr>
              <w:pStyle w:val="Compact"/>
            </w:pPr>
            <w:r>
              <w:t xml:space="preserve">1.249356</w:t>
            </w:r>
          </w:p>
        </w:tc>
        <w:tc>
          <w:tcPr/>
          <w:p>
            <w:pPr>
              <w:pStyle w:val="Compact"/>
            </w:pPr>
            <w:r>
              <w:t xml:space="preserve">2.013955</w:t>
            </w:r>
          </w:p>
        </w:tc>
        <w:tc>
          <w:tcPr/>
          <w:p>
            <w:pPr>
              <w:pStyle w:val="Compact"/>
            </w:pPr>
            <w:r>
              <w:t xml:space="preserve">-0.195660</w:t>
            </w:r>
          </w:p>
        </w:tc>
        <w:tc>
          <w:tcPr/>
          <w:p>
            <w:pPr>
              <w:pStyle w:val="Compact"/>
            </w:pPr>
            <w:r>
              <w:t xml:space="preserve">0.226197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Equal_Weight</w:t>
            </w:r>
          </w:p>
        </w:tc>
        <w:tc>
          <w:tcPr/>
          <w:p>
            <w:pPr>
              <w:pStyle w:val="Compact"/>
            </w:pPr>
            <w:r>
              <w:t xml:space="preserve">0.121807</w:t>
            </w:r>
          </w:p>
        </w:tc>
        <w:tc>
          <w:tcPr/>
          <w:p>
            <w:pPr>
              <w:pStyle w:val="Compact"/>
            </w:pPr>
            <w:r>
              <w:t xml:space="preserve">1.242733</w:t>
            </w:r>
          </w:p>
        </w:tc>
        <w:tc>
          <w:tcPr/>
          <w:p>
            <w:pPr>
              <w:pStyle w:val="Compact"/>
            </w:pPr>
            <w:r>
              <w:t xml:space="preserve">2.042823</w:t>
            </w:r>
          </w:p>
        </w:tc>
        <w:tc>
          <w:tcPr/>
          <w:p>
            <w:pPr>
              <w:pStyle w:val="Compact"/>
            </w:pPr>
            <w:r>
              <w:t xml:space="preserve">-0.196336</w:t>
            </w:r>
          </w:p>
        </w:tc>
        <w:tc>
          <w:tcPr/>
          <w:p>
            <w:pPr>
              <w:pStyle w:val="Compact"/>
            </w:pPr>
            <w:r>
              <w:t xml:space="preserve">0.260099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HMM</w:t>
            </w:r>
          </w:p>
        </w:tc>
        <w:tc>
          <w:tcPr/>
          <w:p>
            <w:pPr>
              <w:pStyle w:val="Compact"/>
            </w:pPr>
            <w:r>
              <w:t xml:space="preserve">0.104933</w:t>
            </w:r>
          </w:p>
        </w:tc>
        <w:tc>
          <w:tcPr/>
          <w:p>
            <w:pPr>
              <w:pStyle w:val="Compact"/>
            </w:pPr>
            <w:r>
              <w:t xml:space="preserve">1.039030</w:t>
            </w:r>
          </w:p>
        </w:tc>
        <w:tc>
          <w:tcPr/>
          <w:p>
            <w:pPr>
              <w:pStyle w:val="Compact"/>
            </w:pPr>
            <w:r>
              <w:t xml:space="preserve">1.673645</w:t>
            </w:r>
          </w:p>
        </w:tc>
        <w:tc>
          <w:tcPr/>
          <w:p>
            <w:pPr>
              <w:pStyle w:val="Compact"/>
            </w:pPr>
            <w:r>
              <w:t xml:space="preserve">-0.219934</w:t>
            </w:r>
          </w:p>
        </w:tc>
        <w:tc>
          <w:tcPr/>
          <w:p>
            <w:pPr>
              <w:pStyle w:val="Compact"/>
            </w:pPr>
            <w:r>
              <w:t xml:space="preserve">0.012543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Buy_Hold_Equity</w:t>
            </w:r>
          </w:p>
        </w:tc>
        <w:tc>
          <w:tcPr/>
          <w:p>
            <w:pPr>
              <w:pStyle w:val="Compact"/>
            </w:pPr>
            <w:r>
              <w:t xml:space="preserve">0.154681</w:t>
            </w:r>
          </w:p>
        </w:tc>
        <w:tc>
          <w:tcPr/>
          <w:p>
            <w:pPr>
              <w:pStyle w:val="Compact"/>
            </w:pPr>
            <w:r>
              <w:t xml:space="preserve">0.936382</w:t>
            </w:r>
          </w:p>
        </w:tc>
        <w:tc>
          <w:tcPr/>
          <w:p>
            <w:pPr>
              <w:pStyle w:val="Compact"/>
            </w:pPr>
            <w:r>
              <w:t xml:space="preserve">1.428339</w:t>
            </w:r>
          </w:p>
        </w:tc>
        <w:tc>
          <w:tcPr/>
          <w:p>
            <w:pPr>
              <w:pStyle w:val="Compact"/>
            </w:pPr>
            <w:r>
              <w:t xml:space="preserve">-0.239596</w:t>
            </w:r>
          </w:p>
        </w:tc>
        <w:tc>
          <w:tcPr/>
          <w:p>
            <w:pPr>
              <w:pStyle w:val="Compact"/>
            </w:pPr>
            <w:r>
              <w:t xml:space="preserve">0.683755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60_40</w:t>
            </w:r>
          </w:p>
        </w:tc>
        <w:tc>
          <w:tcPr/>
          <w:p>
            <w:pPr>
              <w:pStyle w:val="Compact"/>
            </w:pPr>
            <w:r>
              <w:t xml:space="preserve">0.101011</w:t>
            </w:r>
          </w:p>
        </w:tc>
        <w:tc>
          <w:tcPr/>
          <w:p>
            <w:pPr>
              <w:pStyle w:val="Compact"/>
            </w:pPr>
            <w:r>
              <w:t xml:space="preserve">0.826329</w:t>
            </w:r>
          </w:p>
        </w:tc>
        <w:tc>
          <w:tcPr/>
          <w:p>
            <w:pPr>
              <w:pStyle w:val="Compact"/>
            </w:pPr>
            <w:r>
              <w:t xml:space="preserve">1.391770</w:t>
            </w:r>
          </w:p>
        </w:tc>
        <w:tc>
          <w:tcPr/>
          <w:p>
            <w:pPr>
              <w:pStyle w:val="Compact"/>
            </w:pPr>
            <w:r>
              <w:t xml:space="preserve">-0.257392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</w:tbl>
    <w:bookmarkEnd w:id="27"/>
    <w:bookmarkStart w:id="43" w:name="implementation-cost-summary"/>
    <w:p>
      <w:pPr>
        <w:pStyle w:val="Heading2"/>
      </w:pPr>
      <w:r>
        <w:t xml:space="preserve">Implementation Cost Summary</w:t>
      </w:r>
    </w:p>
    <w:p>
      <w:pPr>
        <w:pStyle w:val="FirstParagraph"/>
      </w:pPr>
      <w:r>
        <w:t xml:space="preserve">The main comparison focuses on net returns after transaction costs. This section separately reports the trading activity that generated those cost adjustments.</w:t>
      </w:r>
    </w:p>
    <w:p>
      <w:pPr>
        <w:pStyle w:val="SourceCode"/>
      </w:pPr>
      <w:r>
        <w:rPr>
          <w:rStyle w:val="NormalTok"/>
        </w:rPr>
        <w:t xml:space="preserve">implementation_cost_summary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strategy_name: pd.Series({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Trade Notional"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"trade_notional"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One-Way Turnover"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"one_way_turnover"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Monthly Transaction Cost"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"transaction_cost"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cost_results.items()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implementation_cost_summary.to_csv(</w:t>
      </w:r>
      <w:r>
        <w:br/>
      </w:r>
      <w:r>
        <w:rPr>
          <w:rStyle w:val="NormalTok"/>
        </w:rPr>
        <w:t xml:space="preserve">   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"implementation_cost_summary.csv"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implementation_cost_summary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HMM</w:t>
            </w:r>
          </w:p>
        </w:tc>
        <w:tc>
          <w:tcPr/>
          <w:p>
            <w:pPr>
              <w:pStyle w:val="Compact"/>
            </w:pPr>
            <w:r>
              <w:t xml:space="preserve">MSVAR</w:t>
            </w:r>
          </w:p>
        </w:tc>
        <w:tc>
          <w:tcPr/>
          <w:p>
            <w:pPr>
              <w:pStyle w:val="Compact"/>
            </w:pPr>
            <w:r>
              <w:t xml:space="preserve">60_40</w:t>
            </w:r>
          </w:p>
        </w:tc>
        <w:tc>
          <w:tcPr/>
          <w:p>
            <w:pPr>
              <w:pStyle w:val="Compact"/>
            </w:pPr>
            <w:r>
              <w:t xml:space="preserve">Equal_Weight</w:t>
            </w:r>
          </w:p>
        </w:tc>
        <w:tc>
          <w:tcPr/>
          <w:p>
            <w:pPr>
              <w:pStyle w:val="Compact"/>
            </w:pPr>
            <w:r>
              <w:t xml:space="preserve">Buy_Hold_Equity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Trade Notional</w:t>
            </w:r>
          </w:p>
        </w:tc>
        <w:tc>
          <w:tcPr/>
          <w:p>
            <w:pPr>
              <w:pStyle w:val="Compact"/>
            </w:pPr>
            <w:r>
              <w:t xml:space="preserve">0.037957</w:t>
            </w:r>
          </w:p>
        </w:tc>
        <w:tc>
          <w:tcPr/>
          <w:p>
            <w:pPr>
              <w:pStyle w:val="Compact"/>
            </w:pPr>
            <w:r>
              <w:t xml:space="preserve">0.026531</w:t>
            </w:r>
          </w:p>
        </w:tc>
        <w:tc>
          <w:tcPr/>
          <w:p>
            <w:pPr>
              <w:pStyle w:val="Compact"/>
            </w:pPr>
            <w:r>
              <w:t xml:space="preserve">0.020448</w:t>
            </w:r>
          </w:p>
        </w:tc>
        <w:tc>
          <w:tcPr/>
          <w:p>
            <w:pPr>
              <w:pStyle w:val="Compact"/>
            </w:pPr>
            <w:r>
              <w:t xml:space="preserve">0.023722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One-Way Turnover</w:t>
            </w:r>
          </w:p>
        </w:tc>
        <w:tc>
          <w:tcPr/>
          <w:p>
            <w:pPr>
              <w:pStyle w:val="Compact"/>
            </w:pPr>
            <w:r>
              <w:t xml:space="preserve">0.018978</w:t>
            </w:r>
          </w:p>
        </w:tc>
        <w:tc>
          <w:tcPr/>
          <w:p>
            <w:pPr>
              <w:pStyle w:val="Compact"/>
            </w:pPr>
            <w:r>
              <w:t xml:space="preserve">0.013265</w:t>
            </w:r>
          </w:p>
        </w:tc>
        <w:tc>
          <w:tcPr/>
          <w:p>
            <w:pPr>
              <w:pStyle w:val="Compact"/>
            </w:pPr>
            <w:r>
              <w:t xml:space="preserve">0.010224</w:t>
            </w:r>
          </w:p>
        </w:tc>
        <w:tc>
          <w:tcPr/>
          <w:p>
            <w:pPr>
              <w:pStyle w:val="Compact"/>
            </w:pPr>
            <w:r>
              <w:t xml:space="preserve">0.011861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Monthly Transaction Cost</w:t>
            </w:r>
          </w:p>
        </w:tc>
        <w:tc>
          <w:tcPr/>
          <w:p>
            <w:pPr>
              <w:pStyle w:val="Compact"/>
            </w:pPr>
            <w:r>
              <w:t xml:space="preserve">0.000038</w:t>
            </w:r>
          </w:p>
        </w:tc>
        <w:tc>
          <w:tcPr/>
          <w:p>
            <w:pPr>
              <w:pStyle w:val="Compact"/>
            </w:pPr>
            <w:r>
              <w:t xml:space="preserve">0.000027</w:t>
            </w:r>
          </w:p>
        </w:tc>
        <w:tc>
          <w:tcPr/>
          <w:p>
            <w:pPr>
              <w:pStyle w:val="Compact"/>
            </w:pPr>
            <w:r>
              <w:t xml:space="preserve">0.000020</w:t>
            </w:r>
          </w:p>
        </w:tc>
        <w:tc>
          <w:tcPr/>
          <w:p>
            <w:pPr>
              <w:pStyle w:val="Compact"/>
            </w:pPr>
            <w:r>
              <w:t xml:space="preserve">0.000024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cost_results.items():</w:t>
      </w:r>
      <w:r>
        <w:br/>
      </w:r>
      <w:r>
        <w:rPr>
          <w:rStyle w:val="NormalTok"/>
        </w:rPr>
        <w:t xml:space="preserve">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result[[</w:t>
      </w:r>
      <w:r>
        <w:rPr>
          <w:rStyle w:val="StringTok"/>
        </w:rPr>
        <w:t xml:space="preserve">"gross_return"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]]).cumprod()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plt.plot(cumulative.index, cumulative[</w:t>
      </w:r>
      <w:r>
        <w:rPr>
          <w:rStyle w:val="StringTok"/>
        </w:rPr>
        <w:t xml:space="preserve">"gross_return"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Gross"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plt.plot(cumulative.index, cumulative[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Net After Costs"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Gross vs Net Performance After Transaction Costs"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"Cumulative Return"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OUTPUT_FIGURES_DIR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_gross_vs_net_transaction_costs.png"</w:t>
      </w:r>
      <w:r>
        <w:br/>
      </w:r>
      <w:r>
        <w:rPr>
          <w:rStyle w:val="NormalTok"/>
        </w:rPr>
        <w:t xml:space="preserve">    plt.savefig(output_path,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figure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4-outpu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..\outputs\figures\hmm_gross_vs_net_transaction_costs.png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4-output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..\outputs\figures\msvar_gross_vs_net_transaction_costs.png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4-output-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..\outputs\figures\60_40_gross_vs_net_transaction_costs.png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4-output-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..\outputs\figures\equal_weight_gross_vs_net_transaction_costs.png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4-output-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..\outputs\figures\buy_hold_equity_gross_vs_net_transaction_costs.png</w:t>
      </w:r>
    </w:p>
    <w:bookmarkEnd w:id="43"/>
    <w:bookmarkStart w:id="59" w:name="tax-sensitivity"/>
    <w:p>
      <w:pPr>
        <w:pStyle w:val="Heading2"/>
      </w:pPr>
      <w:r>
        <w:t xml:space="preserve">Tax Sensitivity</w:t>
      </w:r>
    </w:p>
    <w:p>
      <w:pPr>
        <w:pStyle w:val="FirstParagraph"/>
      </w:pPr>
      <w:r>
        <w:t xml:space="preserve">The tax calculation is included as a sensitivity layer. It estimates potential tax drag from rebalancing sales and positive asset returns. It does not track tax lots, cost basis, holding periods, dividends, fund distributions, or investor-specific tax rates.</w:t>
      </w:r>
    </w:p>
    <w:p>
      <w:pPr>
        <w:pStyle w:val="BodyText"/>
      </w:pPr>
      <w:r>
        <w:t xml:space="preserve">The purpose is to show how sensitive each strategy may be to tax drag under different assumptions, especially when strategy turnover is high.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apply_asset_level_tax_sensitivity(</w:t>
      </w:r>
      <w:r>
        <w:br/>
      </w:r>
      <w:r>
        <w:rPr>
          <w:rStyle w:val="NormalTok"/>
        </w:rPr>
        <w:t xml:space="preserve">    target_weights,</w:t>
      </w:r>
      <w:r>
        <w:br/>
      </w:r>
      <w:r>
        <w:rPr>
          <w:rStyle w:val="NormalTok"/>
        </w:rPr>
        <w:t xml:space="preserve">    asset_returns,</w:t>
      </w:r>
      <w:r>
        <w:br/>
      </w:r>
      <w:r>
        <w:rPr>
          <w:rStyle w:val="NormalTok"/>
        </w:rPr>
        <w:t xml:space="preserve">    tax_rates,</w:t>
      </w:r>
      <w:r>
        <w:br/>
      </w:r>
      <w:r>
        <w:rPr>
          <w:rStyle w:val="NormalTok"/>
        </w:rPr>
        <w:t xml:space="preserve">    apply_signal_lag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target_weights[ASSET_COLS].copy()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asset_returns[ASSET_COLS].copy()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apply_signal_lag: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weights.dropna()</w:t>
      </w:r>
      <w:r>
        <w:br/>
      </w:r>
      <w:r>
        <w:br/>
      </w:r>
      <w:r>
        <w:rPr>
          <w:rStyle w:val="NormalTok"/>
        </w:rPr>
        <w:t xml:space="preserve">    common_index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weights.index.intersection(returns.index)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weights.loc[common_index]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returns.loc[common_index]</w:t>
      </w:r>
      <w:r>
        <w:br/>
      </w:r>
      <w:r>
        <w:br/>
      </w:r>
      <w:r>
        <w:rPr>
          <w:rStyle w:val="NormalTok"/>
        </w:rPr>
        <w:t xml:space="preserve">    tax_rates_series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pd.Series(tax_rates)</w:t>
      </w:r>
      <w:r>
        <w:br/>
      </w:r>
      <w:r>
        <w:br/>
      </w:r>
      <w:r>
        <w:rPr>
          <w:rStyle w:val="NormalTok"/>
        </w:rPr>
        <w:t xml:space="preserve">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previous_target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(common_index):</w:t>
      </w:r>
      <w:r>
        <w:br/>
      </w:r>
      <w:r>
        <w:rPr>
          <w:rStyle w:val="NormalTok"/>
        </w:rPr>
        <w:t xml:space="preserve">        current_target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weights.loc[date]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ASSET_COLS)</w:t>
      </w:r>
      <w:r>
        <w:br/>
      </w:r>
      <w:r>
        <w:rPr>
          <w:rStyle w:val="NormalTok"/>
        </w:rPr>
        <w:t xml:space="preserve">            prior_asset_returns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ASSET_COLS)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previous_returns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returns.loc[common_index[i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    drifted_weights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previous_target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previous_returns)</w:t>
      </w:r>
      <w:r>
        <w:br/>
      </w:r>
      <w:r>
        <w:rPr>
          <w:rStyle w:val="NormalTok"/>
        </w:rPr>
        <w:t xml:space="preserve">            drifted_weights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drifted_weights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drifted_weights.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sell_weights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(drifted_weights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current_target).clip(lower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prior_asset_returns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previous_returns</w:t>
      </w:r>
      <w:r>
        <w:br/>
      </w:r>
      <w:r>
        <w:br/>
      </w:r>
      <w:r>
        <w:rPr>
          <w:rStyle w:val="NormalTok"/>
        </w:rPr>
        <w:t xml:space="preserve">        taxable_gain_proxy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sell_weights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prior_asset_returns.clip(lower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tax_drag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(taxable_gain_proxy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tax_rates_series).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records.append({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"tax_drag"</w:t>
      </w:r>
      <w:r>
        <w:rPr>
          <w:rStyle w:val="NormalTok"/>
        </w:rPr>
        <w:t xml:space="preserve">: tax_drag,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"index_fund_sell_weight"</w:t>
      </w:r>
      <w:r>
        <w:rPr>
          <w:rStyle w:val="NormalTok"/>
        </w:rPr>
        <w:t xml:space="preserve">: sell_weights[</w:t>
      </w:r>
      <w:r>
        <w:rPr>
          <w:rStyle w:val="StringTok"/>
        </w:rPr>
        <w:t xml:space="preserve">"index_fund"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"treasury_fund_sell_weight"</w:t>
      </w:r>
      <w:r>
        <w:rPr>
          <w:rStyle w:val="NormalTok"/>
        </w:rPr>
        <w:t xml:space="preserve">: sell_weights[</w:t>
      </w:r>
      <w:r>
        <w:rPr>
          <w:rStyle w:val="StringTok"/>
        </w:rPr>
        <w:t xml:space="preserve">"treasury_fund"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"gold_fund_sell_weight"</w:t>
      </w:r>
      <w:r>
        <w:rPr>
          <w:rStyle w:val="NormalTok"/>
        </w:rPr>
        <w:t xml:space="preserve">: sell_weights[</w:t>
      </w:r>
      <w:r>
        <w:rPr>
          <w:rStyle w:val="StringTok"/>
        </w:rPr>
        <w:t xml:space="preserve">"gold_fund"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previous_target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current_target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pd.DataFrame(records).set_index(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tax_results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weights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all_target_weights.items():</w:t>
      </w:r>
      <w:r>
        <w:br/>
      </w:r>
      <w:r>
        <w:rPr>
          <w:rStyle w:val="NormalTok"/>
        </w:rPr>
        <w:t xml:space="preserve">    strategy_tax_results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is_model_strategy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model_weights_test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scenario_name, tax_rates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ASSET_TAX_RATES.items():</w:t>
      </w:r>
      <w:r>
        <w:br/>
      </w:r>
      <w:r>
        <w:rPr>
          <w:rStyle w:val="NormalTok"/>
        </w:rPr>
        <w:t xml:space="preserve">        tax_drag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apply_asset_level_tax_sensitivity(</w:t>
      </w:r>
      <w:r>
        <w:br/>
      </w:r>
      <w:r>
        <w:rPr>
          <w:rStyle w:val="NormalTok"/>
        </w:rPr>
        <w:t xml:space="preserve">            target_weights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weights,</w:t>
      </w:r>
      <w:r>
        <w:br/>
      </w:r>
      <w:r>
        <w:rPr>
          <w:rStyle w:val="NormalTok"/>
        </w:rPr>
        <w:t xml:space="preserve">            asset_returns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asset_returns,</w:t>
      </w:r>
      <w:r>
        <w:br/>
      </w:r>
      <w:r>
        <w:rPr>
          <w:rStyle w:val="NormalTok"/>
        </w:rPr>
        <w:t xml:space="preserve">            tax_rates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tax_rates,</w:t>
      </w:r>
      <w:r>
        <w:br/>
      </w:r>
      <w:r>
        <w:rPr>
          <w:rStyle w:val="NormalTok"/>
        </w:rPr>
        <w:t xml:space="preserve">            apply_signal_lag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is_model_strategy,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base_returns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cost_results[strategy_name][</w:t>
      </w:r>
      <w:r>
        <w:rPr>
          <w:rStyle w:val="StringTok"/>
        </w:rPr>
        <w:t xml:space="preserve">"net_return_after_costs"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common_index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base_returns.index.intersection(tax_drag.index)</w:t>
      </w:r>
      <w:r>
        <w:br/>
      </w:r>
      <w:r>
        <w:br/>
      </w:r>
      <w:r>
        <w:rPr>
          <w:rStyle w:val="NormalTok"/>
        </w:rPr>
        <w:t xml:space="preserve">        tax_drag_aligned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tax_drag.loc[common_index, </w:t>
      </w:r>
      <w:r>
        <w:rPr>
          <w:rStyle w:val="StringTok"/>
        </w:rPr>
        <w:t xml:space="preserve">"tax_drag"</w:t>
      </w:r>
      <w:r>
        <w:rPr>
          <w:rStyle w:val="NormalTok"/>
        </w:rPr>
        <w:t xml:space="preserve">].copy()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Exclude tax drag from the first common return observation, consistent with initial setup cost.</w:t>
      </w:r>
      <w:r>
        <w:br/>
      </w:r>
      <w:r>
        <w:rPr>
          <w:rStyle w:val="NormalTok"/>
        </w:rPr>
        <w:t xml:space="preserve">        tax_drag_aligned.iloc[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after_tax_returns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base_returns.loc[common_index]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tax_drag_aligned</w:t>
      </w:r>
      <w:r>
        <w:br/>
      </w:r>
      <w:r>
        <w:br/>
      </w:r>
      <w:r>
        <w:rPr>
          <w:rStyle w:val="NormalTok"/>
        </w:rPr>
        <w:t xml:space="preserve">        strategy_tax_results[scenario_name]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after_tax_returns</w:t>
      </w:r>
      <w:r>
        <w:br/>
      </w:r>
      <w:r>
        <w:br/>
      </w:r>
      <w:r>
        <w:rPr>
          <w:rStyle w:val="NormalTok"/>
        </w:rPr>
        <w:t xml:space="preserve">    tax_results[strategy_name]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pd.DataFrame(strategy_tax_results)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_tax_sensitivity_returns.csv"</w:t>
      </w:r>
      <w:r>
        <w:br/>
      </w:r>
      <w:r>
        <w:rPr>
          <w:rStyle w:val="NormalTok"/>
        </w:rPr>
        <w:t xml:space="preserve">    tax_results[strategy_name].to_csv(output_path)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tax sensitivity returns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Saved HMM tax sensitivity returns to ..\outputs\tables\hmm_tax_sensitivity_returns.csv</w:t>
      </w:r>
      <w:r>
        <w:br/>
      </w:r>
      <w:r>
        <w:rPr>
          <w:rStyle w:val="VerbatimChar"/>
        </w:rPr>
        <w:t xml:space="preserve">Saved MSVAR tax sensitivity returns to ..\outputs\tables\msvar_tax_sensitivity_returns.csv</w:t>
      </w:r>
      <w:r>
        <w:br/>
      </w:r>
      <w:r>
        <w:rPr>
          <w:rStyle w:val="VerbatimChar"/>
        </w:rPr>
        <w:t xml:space="preserve">Saved 60_40 tax sensitivity returns to ..\outputs\tables\60_40_tax_sensitivity_returns.csv</w:t>
      </w:r>
      <w:r>
        <w:br/>
      </w:r>
      <w:r>
        <w:rPr>
          <w:rStyle w:val="VerbatimChar"/>
        </w:rPr>
        <w:t xml:space="preserve">Saved Equal_Weight tax sensitivity returns to ..\outputs\tables\equal_weight_tax_sensitivity_returns.csv</w:t>
      </w:r>
      <w:r>
        <w:br/>
      </w:r>
      <w:r>
        <w:rPr>
          <w:rStyle w:val="VerbatimChar"/>
        </w:rPr>
        <w:t xml:space="preserve">Saved Buy_Hold_Equity tax sensitivity returns to ..\outputs\tables\buy_hold_equity_tax_sensitivity_returns.csv</w:t>
      </w:r>
    </w:p>
    <w:p>
      <w:pPr>
        <w:pStyle w:val="SourceCode"/>
      </w:pPr>
      <w:r>
        <w:rPr>
          <w:rStyle w:val="NormalTok"/>
        </w:rPr>
        <w:t xml:space="preserve">tax_summary_blocks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returns_df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tax_results.items():</w:t>
      </w:r>
      <w:r>
        <w:br/>
      </w:r>
      <w:r>
        <w:rPr>
          <w:rStyle w:val="NormalTok"/>
        </w:rPr>
        <w:t xml:space="preserve">    scenario_summaries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returns_df.columns: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"60_40"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scenario_benchmark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scenario_benchmark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tax_results[</w:t>
      </w:r>
      <w:r>
        <w:rPr>
          <w:rStyle w:val="StringTok"/>
        </w:rPr>
        <w:t xml:space="preserve">"60_40"</w:t>
      </w:r>
      <w:r>
        <w:rPr>
          <w:rStyle w:val="NormalTok"/>
        </w:rPr>
        <w:t xml:space="preserve">][scenario]</w:t>
      </w:r>
      <w:r>
        <w:br/>
      </w:r>
      <w:r>
        <w:br/>
      </w:r>
      <w:r>
        <w:rPr>
          <w:rStyle w:val="NormalTok"/>
        </w:rPr>
        <w:t xml:space="preserve">        scenario_summaries[scenario]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summarize_performance(</w:t>
      </w:r>
      <w:r>
        <w:br/>
      </w:r>
      <w:r>
        <w:rPr>
          <w:rStyle w:val="NormalTok"/>
        </w:rPr>
        <w:t xml:space="preserve">            returns_df[scenario],</w:t>
      </w:r>
      <w:r>
        <w:br/>
      </w:r>
      <w:r>
        <w:rPr>
          <w:rStyle w:val="NormalTok"/>
        </w:rPr>
        <w:t xml:space="preserve">            benchmark_returns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scenario_benchmark,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tax_summary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pd.DataFrame(scenario_summaries)</w:t>
      </w:r>
      <w:r>
        <w:br/>
      </w:r>
      <w:r>
        <w:rPr>
          <w:rStyle w:val="NormalTok"/>
        </w:rPr>
        <w:t xml:space="preserve">    tax_summary.columns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tax_summary.columns]</w:t>
      </w:r>
      <w:r>
        <w:br/>
      </w:r>
      <w:r>
        <w:rPr>
          <w:rStyle w:val="NormalTok"/>
        </w:rPr>
        <w:t xml:space="preserve">    tax_summary_blocks.append(tax_summary)</w:t>
      </w:r>
      <w:r>
        <w:br/>
      </w:r>
      <w:r>
        <w:br/>
      </w:r>
      <w:r>
        <w:rPr>
          <w:rStyle w:val="NormalTok"/>
        </w:rPr>
        <w:t xml:space="preserve">tax_sensitivity_summary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pd.concat(tax_summary_blocks,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tax_sensitivity_summary.to_csv(</w:t>
      </w:r>
      <w:r>
        <w:br/>
      </w:r>
      <w:r>
        <w:rPr>
          <w:rStyle w:val="NormalTok"/>
        </w:rPr>
        <w:t xml:space="preserve">    OUTPUT_TABLES_DIR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"tax_sensitivity_summary.csv"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tax_sensitivity_summary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HMM - No Tax</w:t>
            </w:r>
          </w:p>
        </w:tc>
        <w:tc>
          <w:tcPr/>
          <w:p>
            <w:pPr>
              <w:pStyle w:val="Compact"/>
            </w:pPr>
            <w:r>
              <w:t xml:space="preserve">HMM - Long-Term Capital Gain Sensitivity</w:t>
            </w:r>
          </w:p>
        </w:tc>
        <w:tc>
          <w:tcPr/>
          <w:p>
            <w:pPr>
              <w:pStyle w:val="Compact"/>
            </w:pPr>
            <w:r>
              <w:t xml:space="preserve">HMM - Gold Collectibles Sensitivity</w:t>
            </w:r>
          </w:p>
        </w:tc>
        <w:tc>
          <w:tcPr/>
          <w:p>
            <w:pPr>
              <w:pStyle w:val="Compact"/>
            </w:pPr>
            <w:r>
              <w:t xml:space="preserve">HMM - High Short-Term Sensitivity</w:t>
            </w:r>
          </w:p>
        </w:tc>
        <w:tc>
          <w:tcPr/>
          <w:p>
            <w:pPr>
              <w:pStyle w:val="Compact"/>
            </w:pPr>
            <w:r>
              <w:t xml:space="preserve">MSVAR - No Tax</w:t>
            </w:r>
          </w:p>
        </w:tc>
        <w:tc>
          <w:tcPr/>
          <w:p>
            <w:pPr>
              <w:pStyle w:val="Compact"/>
            </w:pPr>
            <w:r>
              <w:t xml:space="preserve">MSVAR - Long-Term Capital Gain Sensitivity</w:t>
            </w:r>
          </w:p>
        </w:tc>
        <w:tc>
          <w:tcPr/>
          <w:p>
            <w:pPr>
              <w:pStyle w:val="Compact"/>
            </w:pPr>
            <w:r>
              <w:t xml:space="preserve">MSVAR - Gold Collectibles Sensitivity</w:t>
            </w:r>
          </w:p>
        </w:tc>
        <w:tc>
          <w:tcPr/>
          <w:p>
            <w:pPr>
              <w:pStyle w:val="Compact"/>
            </w:pPr>
            <w:r>
              <w:t xml:space="preserve">MSVAR - High Short-Term Sensitivity</w:t>
            </w:r>
          </w:p>
        </w:tc>
        <w:tc>
          <w:tcPr/>
          <w:p>
            <w:pPr>
              <w:pStyle w:val="Compact"/>
            </w:pPr>
            <w:r>
              <w:t xml:space="preserve">60_40 - No Tax</w:t>
            </w:r>
          </w:p>
        </w:tc>
        <w:tc>
          <w:tcPr/>
          <w:p>
            <w:pPr>
              <w:pStyle w:val="Compact"/>
            </w:pPr>
            <w:r>
              <w:t xml:space="preserve">60_40 - Long-Term Capital Gain Sensitivity</w:t>
            </w:r>
          </w:p>
        </w:tc>
        <w:tc>
          <w:tcPr/>
          <w:p>
            <w:pPr>
              <w:pStyle w:val="Compact"/>
            </w:pPr>
            <w:r>
              <w:t xml:space="preserve">60_40 - Gold Collectibles Sensitivity</w:t>
            </w:r>
          </w:p>
        </w:tc>
        <w:tc>
          <w:tcPr/>
          <w:p>
            <w:pPr>
              <w:pStyle w:val="Compact"/>
            </w:pPr>
            <w:r>
              <w:t xml:space="preserve">60_40 - High Short-Term Sensitivity</w:t>
            </w:r>
          </w:p>
        </w:tc>
        <w:tc>
          <w:tcPr/>
          <w:p>
            <w:pPr>
              <w:pStyle w:val="Compact"/>
            </w:pPr>
            <w:r>
              <w:t xml:space="preserve">Equal_Weight - No Tax</w:t>
            </w:r>
          </w:p>
        </w:tc>
        <w:tc>
          <w:tcPr/>
          <w:p>
            <w:pPr>
              <w:pStyle w:val="Compact"/>
            </w:pPr>
            <w:r>
              <w:t xml:space="preserve">Equal_Weight - Long-Term Capital Gain Sensitivity</w:t>
            </w:r>
          </w:p>
        </w:tc>
        <w:tc>
          <w:tcPr/>
          <w:p>
            <w:pPr>
              <w:pStyle w:val="Compact"/>
            </w:pPr>
            <w:r>
              <w:t xml:space="preserve">Equal_Weight - Gold Collectibles Sensitivity</w:t>
            </w:r>
          </w:p>
        </w:tc>
        <w:tc>
          <w:tcPr/>
          <w:p>
            <w:pPr>
              <w:pStyle w:val="Compact"/>
            </w:pPr>
            <w:r>
              <w:t xml:space="preserve">Equal_Weight - High Short-Term Sensitivity</w:t>
            </w:r>
          </w:p>
        </w:tc>
        <w:tc>
          <w:tcPr/>
          <w:p>
            <w:pPr>
              <w:pStyle w:val="Compact"/>
            </w:pPr>
            <w:r>
              <w:t xml:space="preserve">Buy_Hold_Equity - No Tax</w:t>
            </w:r>
          </w:p>
        </w:tc>
        <w:tc>
          <w:tcPr/>
          <w:p>
            <w:pPr>
              <w:pStyle w:val="Compact"/>
            </w:pPr>
            <w:r>
              <w:t xml:space="preserve">Buy_Hold_Equity - Long-Term Capital Gain Sensitivity</w:t>
            </w:r>
          </w:p>
        </w:tc>
        <w:tc>
          <w:tcPr/>
          <w:p>
            <w:pPr>
              <w:pStyle w:val="Compact"/>
            </w:pPr>
            <w:r>
              <w:t xml:space="preserve">Buy_Hold_Equity - Gold Collectibles Sensitivity</w:t>
            </w:r>
          </w:p>
        </w:tc>
        <w:tc>
          <w:tcPr/>
          <w:p>
            <w:pPr>
              <w:pStyle w:val="Compact"/>
            </w:pPr>
            <w:r>
              <w:t xml:space="preserve">Buy_Hold_Equity - High Short-Term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Return</w:t>
            </w:r>
          </w:p>
        </w:tc>
        <w:tc>
          <w:tcPr/>
          <w:p>
            <w:pPr>
              <w:pStyle w:val="Compact"/>
            </w:pPr>
            <w:r>
              <w:t xml:space="preserve">0.104933</w:t>
            </w:r>
          </w:p>
        </w:tc>
        <w:tc>
          <w:tcPr/>
          <w:p>
            <w:pPr>
              <w:pStyle w:val="Compact"/>
            </w:pPr>
            <w:r>
              <w:t xml:space="preserve">0.103404</w:t>
            </w:r>
          </w:p>
        </w:tc>
        <w:tc>
          <w:tcPr/>
          <w:p>
            <w:pPr>
              <w:pStyle w:val="Compact"/>
            </w:pPr>
            <w:r>
              <w:t xml:space="preserve">0.102998</w:t>
            </w:r>
          </w:p>
        </w:tc>
        <w:tc>
          <w:tcPr/>
          <w:p>
            <w:pPr>
              <w:pStyle w:val="Compact"/>
            </w:pPr>
            <w:r>
              <w:t xml:space="preserve">0.101369</w:t>
            </w:r>
          </w:p>
        </w:tc>
        <w:tc>
          <w:tcPr/>
          <w:p>
            <w:pPr>
              <w:pStyle w:val="Compact"/>
            </w:pPr>
            <w:r>
              <w:t xml:space="preserve">0.120785</w:t>
            </w:r>
          </w:p>
        </w:tc>
        <w:tc>
          <w:tcPr/>
          <w:p>
            <w:pPr>
              <w:pStyle w:val="Compact"/>
            </w:pPr>
            <w:r>
              <w:t xml:space="preserve">0.119500</w:t>
            </w:r>
          </w:p>
        </w:tc>
        <w:tc>
          <w:tcPr/>
          <w:p>
            <w:pPr>
              <w:pStyle w:val="Compact"/>
            </w:pPr>
            <w:r>
              <w:t xml:space="preserve">0.119082</w:t>
            </w:r>
          </w:p>
        </w:tc>
        <w:tc>
          <w:tcPr/>
          <w:p>
            <w:pPr>
              <w:pStyle w:val="Compact"/>
            </w:pPr>
            <w:r>
              <w:t xml:space="preserve">0.117787</w:t>
            </w:r>
          </w:p>
        </w:tc>
        <w:tc>
          <w:tcPr/>
          <w:p>
            <w:pPr>
              <w:pStyle w:val="Compact"/>
            </w:pPr>
            <w:r>
              <w:t xml:space="preserve">0.101011</w:t>
            </w:r>
          </w:p>
        </w:tc>
        <w:tc>
          <w:tcPr/>
          <w:p>
            <w:pPr>
              <w:pStyle w:val="Compact"/>
            </w:pPr>
            <w:r>
              <w:t xml:space="preserve">0.099987</w:t>
            </w:r>
          </w:p>
        </w:tc>
        <w:tc>
          <w:tcPr/>
          <w:p>
            <w:pPr>
              <w:pStyle w:val="Compact"/>
            </w:pPr>
            <w:r>
              <w:t xml:space="preserve">0.099987</w:t>
            </w:r>
          </w:p>
        </w:tc>
        <w:tc>
          <w:tcPr/>
          <w:p>
            <w:pPr>
              <w:pStyle w:val="Compact"/>
            </w:pPr>
            <w:r>
              <w:t xml:space="preserve">0.098624</w:t>
            </w:r>
          </w:p>
        </w:tc>
        <w:tc>
          <w:tcPr/>
          <w:p>
            <w:pPr>
              <w:pStyle w:val="Compact"/>
            </w:pPr>
            <w:r>
              <w:t xml:space="preserve">0.121807</w:t>
            </w:r>
          </w:p>
        </w:tc>
        <w:tc>
          <w:tcPr/>
          <w:p>
            <w:pPr>
              <w:pStyle w:val="Compact"/>
            </w:pPr>
            <w:r>
              <w:t xml:space="preserve">0.120517</w:t>
            </w:r>
          </w:p>
        </w:tc>
        <w:tc>
          <w:tcPr/>
          <w:p>
            <w:pPr>
              <w:pStyle w:val="Compact"/>
            </w:pPr>
            <w:r>
              <w:t xml:space="preserve">0.120139</w:t>
            </w:r>
          </w:p>
        </w:tc>
        <w:tc>
          <w:tcPr/>
          <w:p>
            <w:pPr>
              <w:pStyle w:val="Compact"/>
            </w:pPr>
            <w:r>
              <w:t xml:space="preserve">0.118798</w:t>
            </w:r>
          </w:p>
        </w:tc>
        <w:tc>
          <w:tcPr/>
          <w:p>
            <w:pPr>
              <w:pStyle w:val="Compact"/>
            </w:pPr>
            <w:r>
              <w:t xml:space="preserve">0.154681</w:t>
            </w:r>
          </w:p>
        </w:tc>
        <w:tc>
          <w:tcPr/>
          <w:p>
            <w:pPr>
              <w:pStyle w:val="Compact"/>
            </w:pPr>
            <w:r>
              <w:t xml:space="preserve">0.154681</w:t>
            </w:r>
          </w:p>
        </w:tc>
        <w:tc>
          <w:tcPr/>
          <w:p>
            <w:pPr>
              <w:pStyle w:val="Compact"/>
            </w:pPr>
            <w:r>
              <w:t xml:space="preserve">0.154681</w:t>
            </w:r>
          </w:p>
        </w:tc>
        <w:tc>
          <w:tcPr/>
          <w:p>
            <w:pPr>
              <w:pStyle w:val="Compact"/>
            </w:pPr>
            <w:r>
              <w:t xml:space="preserve">0.154681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Volatility</w:t>
            </w:r>
          </w:p>
        </w:tc>
        <w:tc>
          <w:tcPr/>
          <w:p>
            <w:pPr>
              <w:pStyle w:val="Compact"/>
            </w:pPr>
            <w:r>
              <w:t xml:space="preserve">0.101296</w:t>
            </w:r>
          </w:p>
        </w:tc>
        <w:tc>
          <w:tcPr/>
          <w:p>
            <w:pPr>
              <w:pStyle w:val="Compact"/>
            </w:pPr>
            <w:r>
              <w:t xml:space="preserve">0.101124</w:t>
            </w:r>
          </w:p>
        </w:tc>
        <w:tc>
          <w:tcPr/>
          <w:p>
            <w:pPr>
              <w:pStyle w:val="Compact"/>
            </w:pPr>
            <w:r>
              <w:t xml:space="preserve">0.101098</w:t>
            </w:r>
          </w:p>
        </w:tc>
        <w:tc>
          <w:tcPr/>
          <w:p>
            <w:pPr>
              <w:pStyle w:val="Compact"/>
            </w:pPr>
            <w:r>
              <w:t xml:space="preserve">0.100901</w:t>
            </w:r>
          </w:p>
        </w:tc>
        <w:tc>
          <w:tcPr/>
          <w:p>
            <w:pPr>
              <w:pStyle w:val="Compact"/>
            </w:pPr>
            <w:r>
              <w:t xml:space="preserve">0.095278</w:t>
            </w:r>
          </w:p>
        </w:tc>
        <w:tc>
          <w:tcPr/>
          <w:p>
            <w:pPr>
              <w:pStyle w:val="Compact"/>
            </w:pPr>
            <w:r>
              <w:t xml:space="preserve">0.095216</w:t>
            </w:r>
          </w:p>
        </w:tc>
        <w:tc>
          <w:tcPr/>
          <w:p>
            <w:pPr>
              <w:pStyle w:val="Compact"/>
            </w:pPr>
            <w:r>
              <w:t xml:space="preserve">0.095199</w:t>
            </w:r>
          </w:p>
        </w:tc>
        <w:tc>
          <w:tcPr/>
          <w:p>
            <w:pPr>
              <w:pStyle w:val="Compact"/>
            </w:pPr>
            <w:r>
              <w:t xml:space="preserve">0.095136</w:t>
            </w:r>
          </w:p>
        </w:tc>
        <w:tc>
          <w:tcPr/>
          <w:p>
            <w:pPr>
              <w:pStyle w:val="Compact"/>
            </w:pPr>
            <w:r>
              <w:t xml:space="preserve">0.126502</w:t>
            </w:r>
          </w:p>
        </w:tc>
        <w:tc>
          <w:tcPr/>
          <w:p>
            <w:pPr>
              <w:pStyle w:val="Compact"/>
            </w:pPr>
            <w:r>
              <w:t xml:space="preserve">0.126465</w:t>
            </w:r>
          </w:p>
        </w:tc>
        <w:tc>
          <w:tcPr/>
          <w:p>
            <w:pPr>
              <w:pStyle w:val="Compact"/>
            </w:pPr>
            <w:r>
              <w:t xml:space="preserve">0.126465</w:t>
            </w:r>
          </w:p>
        </w:tc>
        <w:tc>
          <w:tcPr/>
          <w:p>
            <w:pPr>
              <w:pStyle w:val="Compact"/>
            </w:pPr>
            <w:r>
              <w:t xml:space="preserve">0.126418</w:t>
            </w:r>
          </w:p>
        </w:tc>
        <w:tc>
          <w:tcPr/>
          <w:p>
            <w:pPr>
              <w:pStyle w:val="Compact"/>
            </w:pPr>
            <w:r>
              <w:t xml:space="preserve">0.096629</w:t>
            </w:r>
          </w:p>
        </w:tc>
        <w:tc>
          <w:tcPr/>
          <w:p>
            <w:pPr>
              <w:pStyle w:val="Compact"/>
            </w:pPr>
            <w:r>
              <w:t xml:space="preserve">0.096569</w:t>
            </w:r>
          </w:p>
        </w:tc>
        <w:tc>
          <w:tcPr/>
          <w:p>
            <w:pPr>
              <w:pStyle w:val="Compact"/>
            </w:pPr>
            <w:r>
              <w:t xml:space="preserve">0.096548</w:t>
            </w:r>
          </w:p>
        </w:tc>
        <w:tc>
          <w:tcPr/>
          <w:p>
            <w:pPr>
              <w:pStyle w:val="Compact"/>
            </w:pPr>
            <w:r>
              <w:t xml:space="preserve">0.096493</w:t>
            </w:r>
          </w:p>
        </w:tc>
        <w:tc>
          <w:tcPr/>
          <w:p>
            <w:pPr>
              <w:pStyle w:val="Compact"/>
            </w:pPr>
            <w:r>
              <w:t xml:space="preserve">0.169815</w:t>
            </w:r>
          </w:p>
        </w:tc>
        <w:tc>
          <w:tcPr/>
          <w:p>
            <w:pPr>
              <w:pStyle w:val="Compact"/>
            </w:pPr>
            <w:r>
              <w:t xml:space="preserve">0.169815</w:t>
            </w:r>
          </w:p>
        </w:tc>
        <w:tc>
          <w:tcPr/>
          <w:p>
            <w:pPr>
              <w:pStyle w:val="Compact"/>
            </w:pPr>
            <w:r>
              <w:t xml:space="preserve">0.169815</w:t>
            </w:r>
          </w:p>
        </w:tc>
        <w:tc>
          <w:tcPr/>
          <w:p>
            <w:pPr>
              <w:pStyle w:val="Compact"/>
            </w:pPr>
            <w:r>
              <w:t xml:space="preserve">0.169815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</w:pPr>
            <w:r>
              <w:t xml:space="preserve">1.039030</w:t>
            </w:r>
          </w:p>
        </w:tc>
        <w:tc>
          <w:tcPr/>
          <w:p>
            <w:pPr>
              <w:pStyle w:val="Compact"/>
            </w:pPr>
            <w:r>
              <w:t xml:space="preserve">1.026844</w:t>
            </w:r>
          </w:p>
        </w:tc>
        <w:tc>
          <w:tcPr/>
          <w:p>
            <w:pPr>
              <w:pStyle w:val="Compact"/>
            </w:pPr>
            <w:r>
              <w:t xml:space="preserve">1.023405</w:t>
            </w:r>
          </w:p>
        </w:tc>
        <w:tc>
          <w:tcPr/>
          <w:p>
            <w:pPr>
              <w:pStyle w:val="Compact"/>
            </w:pPr>
            <w:r>
              <w:t xml:space="preserve">1.010451</w:t>
            </w:r>
          </w:p>
        </w:tc>
        <w:tc>
          <w:tcPr/>
          <w:p>
            <w:pPr>
              <w:pStyle w:val="Compact"/>
            </w:pPr>
            <w:r>
              <w:t xml:space="preserve">1.249356</w:t>
            </w:r>
          </w:p>
        </w:tc>
        <w:tc>
          <w:tcPr/>
          <w:p>
            <w:pPr>
              <w:pStyle w:val="Compact"/>
            </w:pPr>
            <w:r>
              <w:t xml:space="preserve">1.237951</w:t>
            </w:r>
          </w:p>
        </w:tc>
        <w:tc>
          <w:tcPr/>
          <w:p>
            <w:pPr>
              <w:pStyle w:val="Compact"/>
            </w:pPr>
            <w:r>
              <w:t xml:space="preserve">1.234203</w:t>
            </w:r>
          </w:p>
        </w:tc>
        <w:tc>
          <w:tcPr/>
          <w:p>
            <w:pPr>
              <w:pStyle w:val="Compact"/>
            </w:pPr>
            <w:r>
              <w:t xml:space="preserve">1.222670</w:t>
            </w:r>
          </w:p>
        </w:tc>
        <w:tc>
          <w:tcPr/>
          <w:p>
            <w:pPr>
              <w:pStyle w:val="Compact"/>
            </w:pPr>
            <w:r>
              <w:t xml:space="preserve">0.826329</w:t>
            </w:r>
          </w:p>
        </w:tc>
        <w:tc>
          <w:tcPr/>
          <w:p>
            <w:pPr>
              <w:pStyle w:val="Compact"/>
            </w:pPr>
            <w:r>
              <w:t xml:space="preserve">0.819126</w:t>
            </w:r>
          </w:p>
        </w:tc>
        <w:tc>
          <w:tcPr/>
          <w:p>
            <w:pPr>
              <w:pStyle w:val="Compact"/>
            </w:pPr>
            <w:r>
              <w:t xml:space="preserve">0.819126</w:t>
            </w:r>
          </w:p>
        </w:tc>
        <w:tc>
          <w:tcPr/>
          <w:p>
            <w:pPr>
              <w:pStyle w:val="Compact"/>
            </w:pPr>
            <w:r>
              <w:t xml:space="preserve">0.809503</w:t>
            </w:r>
          </w:p>
        </w:tc>
        <w:tc>
          <w:tcPr/>
          <w:p>
            <w:pPr>
              <w:pStyle w:val="Compact"/>
            </w:pPr>
            <w:r>
              <w:t xml:space="preserve">1.242733</w:t>
            </w:r>
          </w:p>
        </w:tc>
        <w:tc>
          <w:tcPr/>
          <w:p>
            <w:pPr>
              <w:pStyle w:val="Compact"/>
            </w:pPr>
            <w:r>
              <w:t xml:space="preserve">1.231416</w:t>
            </w:r>
          </w:p>
        </w:tc>
        <w:tc>
          <w:tcPr/>
          <w:p>
            <w:pPr>
              <w:pStyle w:val="Compact"/>
            </w:pPr>
            <w:r>
              <w:t xml:space="preserve">1.228143</w:t>
            </w:r>
          </w:p>
        </w:tc>
        <w:tc>
          <w:tcPr/>
          <w:p>
            <w:pPr>
              <w:pStyle w:val="Compact"/>
            </w:pPr>
            <w:r>
              <w:t xml:space="preserve">1.216259</w:t>
            </w:r>
          </w:p>
        </w:tc>
        <w:tc>
          <w:tcPr/>
          <w:p>
            <w:pPr>
              <w:pStyle w:val="Compact"/>
            </w:pPr>
            <w:r>
              <w:t xml:space="preserve">0.936382</w:t>
            </w:r>
          </w:p>
        </w:tc>
        <w:tc>
          <w:tcPr/>
          <w:p>
            <w:pPr>
              <w:pStyle w:val="Compact"/>
            </w:pPr>
            <w:r>
              <w:t xml:space="preserve">0.936382</w:t>
            </w:r>
          </w:p>
        </w:tc>
        <w:tc>
          <w:tcPr/>
          <w:p>
            <w:pPr>
              <w:pStyle w:val="Compact"/>
            </w:pPr>
            <w:r>
              <w:t xml:space="preserve">0.936382</w:t>
            </w:r>
          </w:p>
        </w:tc>
        <w:tc>
          <w:tcPr/>
          <w:p>
            <w:pPr>
              <w:pStyle w:val="Compact"/>
            </w:pPr>
            <w:r>
              <w:t xml:space="preserve">0.936382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1.673645</w:t>
            </w:r>
          </w:p>
        </w:tc>
        <w:tc>
          <w:tcPr/>
          <w:p>
            <w:pPr>
              <w:pStyle w:val="Compact"/>
            </w:pPr>
            <w:r>
              <w:t xml:space="preserve">1.651628</w:t>
            </w:r>
          </w:p>
        </w:tc>
        <w:tc>
          <w:tcPr/>
          <w:p>
            <w:pPr>
              <w:pStyle w:val="Compact"/>
            </w:pPr>
            <w:r>
              <w:t xml:space="preserve">1.645169</w:t>
            </w:r>
          </w:p>
        </w:tc>
        <w:tc>
          <w:tcPr/>
          <w:p>
            <w:pPr>
              <w:pStyle w:val="Compact"/>
            </w:pPr>
            <w:r>
              <w:t xml:space="preserve">1.622185</w:t>
            </w:r>
          </w:p>
        </w:tc>
        <w:tc>
          <w:tcPr/>
          <w:p>
            <w:pPr>
              <w:pStyle w:val="Compact"/>
            </w:pPr>
            <w:r>
              <w:t xml:space="preserve">2.013955</w:t>
            </w:r>
          </w:p>
        </w:tc>
        <w:tc>
          <w:tcPr/>
          <w:p>
            <w:pPr>
              <w:pStyle w:val="Compact"/>
            </w:pPr>
            <w:r>
              <w:t xml:space="preserve">1.984358</w:t>
            </w:r>
          </w:p>
        </w:tc>
        <w:tc>
          <w:tcPr/>
          <w:p>
            <w:pPr>
              <w:pStyle w:val="Compact"/>
            </w:pPr>
            <w:r>
              <w:t xml:space="preserve">1.977954</w:t>
            </w:r>
          </w:p>
        </w:tc>
        <w:tc>
          <w:tcPr/>
          <w:p>
            <w:pPr>
              <w:pStyle w:val="Compact"/>
            </w:pPr>
            <w:r>
              <w:t xml:space="preserve">1.960067</w:t>
            </w:r>
          </w:p>
        </w:tc>
        <w:tc>
          <w:tcPr/>
          <w:p>
            <w:pPr>
              <w:pStyle w:val="Compact"/>
            </w:pPr>
            <w:r>
              <w:t xml:space="preserve">1.391770</w:t>
            </w:r>
          </w:p>
        </w:tc>
        <w:tc>
          <w:tcPr/>
          <w:p>
            <w:pPr>
              <w:pStyle w:val="Compact"/>
            </w:pPr>
            <w:r>
              <w:t xml:space="preserve">1.378490</w:t>
            </w:r>
          </w:p>
        </w:tc>
        <w:tc>
          <w:tcPr/>
          <w:p>
            <w:pPr>
              <w:pStyle w:val="Compact"/>
            </w:pPr>
            <w:r>
              <w:t xml:space="preserve">1.378490</w:t>
            </w:r>
          </w:p>
        </w:tc>
        <w:tc>
          <w:tcPr/>
          <w:p>
            <w:pPr>
              <w:pStyle w:val="Compact"/>
            </w:pPr>
            <w:r>
              <w:t xml:space="preserve">1.331111</w:t>
            </w:r>
          </w:p>
        </w:tc>
        <w:tc>
          <w:tcPr/>
          <w:p>
            <w:pPr>
              <w:pStyle w:val="Compact"/>
            </w:pPr>
            <w:r>
              <w:t xml:space="preserve">2.042823</w:t>
            </w:r>
          </w:p>
        </w:tc>
        <w:tc>
          <w:tcPr/>
          <w:p>
            <w:pPr>
              <w:pStyle w:val="Compact"/>
            </w:pPr>
            <w:r>
              <w:t xml:space="preserve">2.005306</w:t>
            </w:r>
          </w:p>
        </w:tc>
        <w:tc>
          <w:tcPr/>
          <w:p>
            <w:pPr>
              <w:pStyle w:val="Compact"/>
            </w:pPr>
            <w:r>
              <w:t xml:space="preserve">1.998979</w:t>
            </w:r>
          </w:p>
        </w:tc>
        <w:tc>
          <w:tcPr/>
          <w:p>
            <w:pPr>
              <w:pStyle w:val="Compact"/>
            </w:pPr>
            <w:r>
              <w:t xml:space="preserve">1.980512</w:t>
            </w:r>
          </w:p>
        </w:tc>
        <w:tc>
          <w:tcPr/>
          <w:p>
            <w:pPr>
              <w:pStyle w:val="Compact"/>
            </w:pPr>
            <w:r>
              <w:t xml:space="preserve">1.428339</w:t>
            </w:r>
          </w:p>
        </w:tc>
        <w:tc>
          <w:tcPr/>
          <w:p>
            <w:pPr>
              <w:pStyle w:val="Compact"/>
            </w:pPr>
            <w:r>
              <w:t xml:space="preserve">1.428339</w:t>
            </w:r>
          </w:p>
        </w:tc>
        <w:tc>
          <w:tcPr/>
          <w:p>
            <w:pPr>
              <w:pStyle w:val="Compact"/>
            </w:pPr>
            <w:r>
              <w:t xml:space="preserve">1.428339</w:t>
            </w:r>
          </w:p>
        </w:tc>
        <w:tc>
          <w:tcPr/>
          <w:p>
            <w:pPr>
              <w:pStyle w:val="Compact"/>
            </w:pPr>
            <w:r>
              <w:t xml:space="preserve">1.428339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</w:pPr>
            <w:r>
              <w:t xml:space="preserve">-0.219934</w:t>
            </w:r>
          </w:p>
        </w:tc>
        <w:tc>
          <w:tcPr/>
          <w:p>
            <w:pPr>
              <w:pStyle w:val="Compact"/>
            </w:pPr>
            <w:r>
              <w:t xml:space="preserve">-0.220476</w:t>
            </w:r>
          </w:p>
        </w:tc>
        <w:tc>
          <w:tcPr/>
          <w:p>
            <w:pPr>
              <w:pStyle w:val="Compact"/>
            </w:pPr>
            <w:r>
              <w:t xml:space="preserve">-0.220600</w:t>
            </w:r>
          </w:p>
        </w:tc>
        <w:tc>
          <w:tcPr/>
          <w:p>
            <w:pPr>
              <w:pStyle w:val="Compact"/>
            </w:pPr>
            <w:r>
              <w:t xml:space="preserve">-0.221197</w:t>
            </w:r>
          </w:p>
        </w:tc>
        <w:tc>
          <w:tcPr/>
          <w:p>
            <w:pPr>
              <w:pStyle w:val="Compact"/>
            </w:pPr>
            <w:r>
              <w:t xml:space="preserve">-0.195660</w:t>
            </w:r>
          </w:p>
        </w:tc>
        <w:tc>
          <w:tcPr/>
          <w:p>
            <w:pPr>
              <w:pStyle w:val="Compact"/>
            </w:pPr>
            <w:r>
              <w:t xml:space="preserve">-0.196198</w:t>
            </w:r>
          </w:p>
        </w:tc>
        <w:tc>
          <w:tcPr/>
          <w:p>
            <w:pPr>
              <w:pStyle w:val="Compact"/>
            </w:pPr>
            <w:r>
              <w:t xml:space="preserve">-0.196325</w:t>
            </w:r>
          </w:p>
        </w:tc>
        <w:tc>
          <w:tcPr/>
          <w:p>
            <w:pPr>
              <w:pStyle w:val="Compact"/>
            </w:pPr>
            <w:r>
              <w:t xml:space="preserve">-0.196916</w:t>
            </w:r>
          </w:p>
        </w:tc>
        <w:tc>
          <w:tcPr/>
          <w:p>
            <w:pPr>
              <w:pStyle w:val="Compact"/>
            </w:pPr>
            <w:r>
              <w:t xml:space="preserve">-0.257392</w:t>
            </w:r>
          </w:p>
        </w:tc>
        <w:tc>
          <w:tcPr/>
          <w:p>
            <w:pPr>
              <w:pStyle w:val="Compact"/>
            </w:pPr>
            <w:r>
              <w:t xml:space="preserve">-0.257727</w:t>
            </w:r>
          </w:p>
        </w:tc>
        <w:tc>
          <w:tcPr/>
          <w:p>
            <w:pPr>
              <w:pStyle w:val="Compact"/>
            </w:pPr>
            <w:r>
              <w:t xml:space="preserve">-0.257727</w:t>
            </w:r>
          </w:p>
        </w:tc>
        <w:tc>
          <w:tcPr/>
          <w:p>
            <w:pPr>
              <w:pStyle w:val="Compact"/>
            </w:pPr>
            <w:r>
              <w:t xml:space="preserve">-0.258174</w:t>
            </w:r>
          </w:p>
        </w:tc>
        <w:tc>
          <w:tcPr/>
          <w:p>
            <w:pPr>
              <w:pStyle w:val="Compact"/>
            </w:pPr>
            <w:r>
              <w:t xml:space="preserve">-0.196336</w:t>
            </w:r>
          </w:p>
        </w:tc>
        <w:tc>
          <w:tcPr/>
          <w:p>
            <w:pPr>
              <w:pStyle w:val="Compact"/>
            </w:pPr>
            <w:r>
              <w:t xml:space="preserve">-0.196884</w:t>
            </w:r>
          </w:p>
        </w:tc>
        <w:tc>
          <w:tcPr/>
          <w:p>
            <w:pPr>
              <w:pStyle w:val="Compact"/>
            </w:pPr>
            <w:r>
              <w:t xml:space="preserve">-0.197026</w:t>
            </w:r>
          </w:p>
        </w:tc>
        <w:tc>
          <w:tcPr/>
          <w:p>
            <w:pPr>
              <w:pStyle w:val="Compact"/>
            </w:pPr>
            <w:r>
              <w:t xml:space="preserve">-0.197615</w:t>
            </w:r>
          </w:p>
        </w:tc>
        <w:tc>
          <w:tcPr/>
          <w:p>
            <w:pPr>
              <w:pStyle w:val="Compact"/>
            </w:pPr>
            <w:r>
              <w:t xml:space="preserve">-0.239596</w:t>
            </w:r>
          </w:p>
        </w:tc>
        <w:tc>
          <w:tcPr/>
          <w:p>
            <w:pPr>
              <w:pStyle w:val="Compact"/>
            </w:pPr>
            <w:r>
              <w:t xml:space="preserve">-0.239596</w:t>
            </w:r>
          </w:p>
        </w:tc>
        <w:tc>
          <w:tcPr/>
          <w:p>
            <w:pPr>
              <w:pStyle w:val="Compact"/>
            </w:pPr>
            <w:r>
              <w:t xml:space="preserve">-0.239596</w:t>
            </w:r>
          </w:p>
        </w:tc>
        <w:tc>
          <w:tcPr/>
          <w:p>
            <w:pPr>
              <w:pStyle w:val="Compact"/>
            </w:pPr>
            <w:r>
              <w:t xml:space="preserve">-0.239596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Ratio vs 60/40</w:t>
            </w:r>
          </w:p>
        </w:tc>
        <w:tc>
          <w:tcPr/>
          <w:p>
            <w:pPr>
              <w:pStyle w:val="Compact"/>
            </w:pPr>
            <w:r>
              <w:t xml:space="preserve">0.012543</w:t>
            </w:r>
          </w:p>
        </w:tc>
        <w:tc>
          <w:tcPr/>
          <w:p>
            <w:pPr>
              <w:pStyle w:val="Compact"/>
            </w:pPr>
            <w:r>
              <w:t xml:space="preserve">0.004316</w:t>
            </w:r>
          </w:p>
        </w:tc>
        <w:tc>
          <w:tcPr/>
          <w:p>
            <w:pPr>
              <w:pStyle w:val="Compact"/>
            </w:pPr>
            <w:r>
              <w:t xml:space="preserve">-0.002209</w:t>
            </w:r>
          </w:p>
        </w:tc>
        <w:tc>
          <w:tcPr/>
          <w:p>
            <w:pPr>
              <w:pStyle w:val="Compact"/>
            </w:pPr>
            <w:r>
              <w:t xml:space="preserve">-0.006613</w:t>
            </w:r>
          </w:p>
        </w:tc>
        <w:tc>
          <w:tcPr/>
          <w:p>
            <w:pPr>
              <w:pStyle w:val="Compact"/>
            </w:pPr>
            <w:r>
              <w:t xml:space="preserve">0.226197</w:t>
            </w:r>
          </w:p>
        </w:tc>
        <w:tc>
          <w:tcPr/>
          <w:p>
            <w:pPr>
              <w:pStyle w:val="Compact"/>
            </w:pPr>
            <w:r>
              <w:t xml:space="preserve">0.222662</w:t>
            </w:r>
          </w:p>
        </w:tc>
        <w:tc>
          <w:tcPr/>
          <w:p>
            <w:pPr>
              <w:pStyle w:val="Compact"/>
            </w:pPr>
            <w:r>
              <w:t xml:space="preserve">0.216785</w:t>
            </w:r>
          </w:p>
        </w:tc>
        <w:tc>
          <w:tcPr/>
          <w:p>
            <w:pPr>
              <w:pStyle w:val="Compact"/>
            </w:pPr>
            <w:r>
              <w:t xml:space="preserve">0.217935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0.260099</w:t>
            </w:r>
          </w:p>
        </w:tc>
        <w:tc>
          <w:tcPr/>
          <w:p>
            <w:pPr>
              <w:pStyle w:val="Compact"/>
            </w:pPr>
            <w:r>
              <w:t xml:space="preserve">0.256239</w:t>
            </w:r>
          </w:p>
        </w:tc>
        <w:tc>
          <w:tcPr/>
          <w:p>
            <w:pPr>
              <w:pStyle w:val="Compact"/>
            </w:pPr>
            <w:r>
              <w:t xml:space="preserve">0.250453</w:t>
            </w:r>
          </w:p>
        </w:tc>
        <w:tc>
          <w:tcPr/>
          <w:p>
            <w:pPr>
              <w:pStyle w:val="Compact"/>
            </w:pPr>
            <w:r>
              <w:t xml:space="preserve">0.251075</w:t>
            </w:r>
          </w:p>
        </w:tc>
        <w:tc>
          <w:tcPr/>
          <w:p>
            <w:pPr>
              <w:pStyle w:val="Compact"/>
            </w:pPr>
            <w:r>
              <w:t xml:space="preserve">0.683755</w:t>
            </w:r>
          </w:p>
        </w:tc>
        <w:tc>
          <w:tcPr/>
          <w:p>
            <w:pPr>
              <w:pStyle w:val="Compact"/>
            </w:pPr>
            <w:r>
              <w:t xml:space="preserve">0.695706</w:t>
            </w:r>
          </w:p>
        </w:tc>
        <w:tc>
          <w:tcPr/>
          <w:p>
            <w:pPr>
              <w:pStyle w:val="Compact"/>
            </w:pPr>
            <w:r>
              <w:t xml:space="preserve">0.695706</w:t>
            </w:r>
          </w:p>
        </w:tc>
        <w:tc>
          <w:tcPr/>
          <w:p>
            <w:pPr>
              <w:pStyle w:val="Compact"/>
            </w:pPr>
            <w:r>
              <w:t xml:space="preserve">0.711619</w:t>
            </w:r>
          </w:p>
        </w:tc>
      </w:tr>
    </w:tbl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returns_df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tax_results.items():</w:t>
      </w:r>
      <w:r>
        <w:br/>
      </w:r>
      <w:r>
        <w:rPr>
          <w:rStyle w:val="NormalTok"/>
        </w:rPr>
        <w:t xml:space="preserve">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returns_df).cumprod()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cumulative.columns:</w:t>
      </w:r>
      <w:r>
        <w:br/>
      </w:r>
      <w:r>
        <w:rPr>
          <w:rStyle w:val="NormalTok"/>
        </w:rPr>
        <w:t xml:space="preserve">        plt.plot(cumulative.index, cumulative[col],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col)</w:t>
      </w:r>
      <w:r>
        <w:br/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Tax Sensitivity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"Cumulative Return"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OUTPUT_FIGURES_DIR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_tax_sensitivity.png"</w:t>
      </w:r>
      <w:r>
        <w:br/>
      </w:r>
      <w:r>
        <w:rPr>
          <w:rStyle w:val="NormalTok"/>
        </w:rPr>
        <w:t xml:space="preserve">    plt.savefig(output_path,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figure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8-outpu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..\outputs\figures\hmm_tax_sensitivity.png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8-output-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..\outputs\figures\msvar_tax_sensitivity.png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8-output-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..\outputs\figures\60_40_tax_sensitivity.png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8-output-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..\outputs\figures\equal_weight_tax_sensitivity.png</w:t>
      </w:r>
    </w:p>
    <w:p>
      <w:pPr>
        <w:pStyle w:val="FirstParagraph"/>
      </w:pPr>
      <w:r>
        <w:drawing>
          <wp:inline>
            <wp:extent cx="5334000" cy="264681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trategy_comparison_backtest_files/figure-docx/cell-18-output-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Saved figure to ..\outputs\figures\buy_hold_equity_tax_sensitivity.png</w:t>
      </w:r>
    </w:p>
    <w:bookmarkEnd w:id="59"/>
    <w:bookmarkStart w:id="60" w:name="saved-outputs"/>
    <w:p>
      <w:pPr>
        <w:pStyle w:val="Heading2"/>
      </w:pPr>
      <w:r>
        <w:t xml:space="preserve">Saved Outputs</w:t>
      </w:r>
    </w:p>
    <w:p>
      <w:pPr>
        <w:pStyle w:val="FirstParagraph"/>
      </w:pPr>
      <w:r>
        <w:t xml:space="preserve">The main output for the report is the net-after-cost strategy comparison over the common test period. The gross-vs-net and tax-sensitivity outputs are supporting analyses.</w:t>
      </w:r>
    </w:p>
    <w:p>
      <w:pPr>
        <w:pStyle w:val="BodyText"/>
      </w:pPr>
      <w:r>
        <w:t xml:space="preserve">Primary report outputs:</w:t>
      </w:r>
    </w:p>
    <w:p>
      <w:pPr>
        <w:pStyle w:val="Compact"/>
        <w:numPr>
          <w:ilvl w:val="0"/>
          <w:numId w:val="1004"/>
        </w:numPr>
      </w:pPr>
      <w:r>
        <w:t xml:space="preserve">test_period_info.csv</w:t>
      </w:r>
    </w:p>
    <w:p>
      <w:pPr>
        <w:pStyle w:val="Compact"/>
        <w:numPr>
          <w:ilvl w:val="0"/>
          <w:numId w:val="1004"/>
        </w:numPr>
      </w:pPr>
      <w:r>
        <w:t xml:space="preserve">net_after_cost_strategy_comparison.csv</w:t>
      </w:r>
    </w:p>
    <w:p>
      <w:pPr>
        <w:pStyle w:val="Compact"/>
        <w:numPr>
          <w:ilvl w:val="0"/>
          <w:numId w:val="1004"/>
        </w:numPr>
      </w:pPr>
      <w:r>
        <w:t xml:space="preserve">net_after_cost_strategy_comparison.png</w:t>
      </w:r>
    </w:p>
    <w:p>
      <w:pPr>
        <w:pStyle w:val="Compact"/>
        <w:numPr>
          <w:ilvl w:val="0"/>
          <w:numId w:val="1004"/>
        </w:numPr>
      </w:pPr>
      <w:r>
        <w:t xml:space="preserve">net_after_cost_strategy_ranking.csv</w:t>
      </w:r>
    </w:p>
    <w:p>
      <w:pPr>
        <w:pStyle w:val="Compact"/>
        <w:numPr>
          <w:ilvl w:val="0"/>
          <w:numId w:val="1004"/>
        </w:numPr>
      </w:pPr>
      <w:r>
        <w:t xml:space="preserve">implementation_cost_summary.csv</w:t>
      </w:r>
    </w:p>
    <w:p>
      <w:pPr>
        <w:pStyle w:val="FirstParagraph"/>
      </w:pPr>
      <w:r>
        <w:t xml:space="preserve">Supporting outputs:</w:t>
      </w:r>
    </w:p>
    <w:p>
      <w:pPr>
        <w:pStyle w:val="Compact"/>
        <w:numPr>
          <w:ilvl w:val="0"/>
          <w:numId w:val="1005"/>
        </w:numPr>
      </w:pPr>
      <w:r>
        <w:t xml:space="preserve">monthly returns with costs for each strategy</w:t>
      </w:r>
    </w:p>
    <w:p>
      <w:pPr>
        <w:pStyle w:val="Compact"/>
        <w:numPr>
          <w:ilvl w:val="0"/>
          <w:numId w:val="1005"/>
        </w:numPr>
      </w:pPr>
      <w:r>
        <w:t xml:space="preserve">gross vs net cost-drag plots</w:t>
      </w:r>
    </w:p>
    <w:p>
      <w:pPr>
        <w:pStyle w:val="Compact"/>
        <w:numPr>
          <w:ilvl w:val="0"/>
          <w:numId w:val="1005"/>
        </w:numPr>
      </w:pPr>
      <w:r>
        <w:t xml:space="preserve">tax_sensitivity_summary.csv</w:t>
      </w:r>
    </w:p>
    <w:p>
      <w:pPr>
        <w:pStyle w:val="Compact"/>
        <w:numPr>
          <w:ilvl w:val="0"/>
          <w:numId w:val="1005"/>
        </w:numPr>
      </w:pPr>
      <w:r>
        <w:t xml:space="preserve">tax sensitivity return files and plots</w:t>
      </w:r>
    </w:p>
    <w:bookmarkEnd w:id="60"/>
    <w:bookmarkStart w:id="61" w:name="notes-for-the-report"/>
    <w:p>
      <w:pPr>
        <w:pStyle w:val="Heading2"/>
      </w:pPr>
      <w:r>
        <w:t xml:space="preserve">Notes for the Report</w:t>
      </w:r>
    </w:p>
    <w:p>
      <w:pPr>
        <w:pStyle w:val="FirstParagraph"/>
      </w:pPr>
      <w:r>
        <w:t xml:space="preserve">The primary comparison should use the net-after-cost strategy comparison table and cumulative return figure. These outputs compare HMM, MS-VAR, 60/40, equal-weight, and buy-and-hold equity over the common test-period return window.</w:t>
      </w:r>
    </w:p>
    <w:p>
      <w:pPr>
        <w:pStyle w:val="BodyText"/>
      </w:pPr>
      <w:r>
        <w:t xml:space="preserve">The test_period_info.csv file documents the signal start dates and the realized return comparison period. This is important because HMM and MS-VAR have different test signal start dates.</w:t>
      </w:r>
    </w:p>
    <w:p>
      <w:pPr>
        <w:pStyle w:val="BodyText"/>
      </w:pPr>
      <w:r>
        <w:t xml:space="preserve">The implementation cost summary explains how much trading each strategy generates. This is useful because one of the project questions is whether MS-VAR produces more stable regimes and therefore lower allocation turnover than HMM.</w:t>
      </w:r>
    </w:p>
    <w:p>
      <w:pPr>
        <w:pStyle w:val="BodyText"/>
      </w:pPr>
      <w:r>
        <w:t xml:space="preserve">The tax sensitivity results should be discussed as implementation sensitivity, not as actual after-tax returns.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Strategy Comparison Backtest</dc:title>
  <dc:creator/>
  <cp:keywords/>
  <dcterms:created xsi:type="dcterms:W3CDTF">2026-05-10T17:56:01Z</dcterms:created>
  <dcterms:modified xsi:type="dcterms:W3CDTF">2026-05-10T17:56:01Z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