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w:t>
      </w:r>
    </w:p>
    <w:bookmarkStart w:id="29" w:name="results"/>
    <w:p>
      <w:pPr>
        <w:pStyle w:val="Heading2"/>
      </w:pPr>
      <w:r>
        <w:t xml:space="preserve">Results</w:t>
      </w:r>
    </w:p>
    <w:p>
      <w:pPr>
        <w:pStyle w:val="FirstParagraph"/>
      </w:pPr>
      <w:r>
        <w:t xml:space="preserve">In this section, we present the results of our analysis in response to the research questions outlined in the introduction.</w:t>
      </w:r>
    </w:p>
    <w:p>
      <w:pPr>
        <w:pStyle w:val="BodyText"/>
      </w:pPr>
      <w:r>
        <w:t xml:space="preserve">RQ1. Do HMM and MSVAR identify economically distinct regimes when estimated on the same macro inputs? Do they agree on regime classifications, and are the regime-conditional moments interpretable as expansion and contraction?</w:t>
      </w:r>
    </w:p>
    <w:p>
      <w:pPr>
        <w:pStyle w:val="BodyText"/>
      </w:pPr>
      <w:r>
        <w:t xml:space="preserve">RQ2. Does the autoregressive structure of the MSVAR produce more stable regime classifications than the HMM, i.e., fewer short-lived state assignments, lower allocation turnover, and less sensitivity to noisy macro observations?</w:t>
      </w:r>
    </w:p>
    <w:p>
      <w:pPr>
        <w:pStyle w:val="BodyText"/>
      </w:pPr>
      <w:r>
        <w:t xml:space="preserve">RQ3. Does a macro-driven regime TAA strategy using either the HMM or the MSVAR deliver better risk-adjusted performance than well-known static benchmarks (60/40, equal-weight, buy-and-hold equity) after transaction costs over sampling period?</w:t>
      </w:r>
    </w:p>
    <w:p>
      <w:pPr>
        <w:pStyle w:val="BodyText"/>
      </w:pPr>
      <w:r>
        <w:t xml:space="preserve">RQ4. Is the performance advantage, if any, of the MSVAR over the HMM consistent across sub-periods, including the 2020 COVID pandemic and the 2021–2022 inflation and rate-rise episode?</w:t>
      </w:r>
    </w:p>
    <w:bookmarkStart w:id="25" w:name="X231de3a7a8600bde7b37485781922edeab52c2e"/>
    <w:p>
      <w:pPr>
        <w:pStyle w:val="Heading3"/>
      </w:pPr>
      <w:r>
        <w:t xml:space="preserve">Classification of regimes according to HMM and MSVAR</w:t>
      </w:r>
    </w:p>
    <w:p>
      <w:pPr>
        <w:pStyle w:val="FirstParagraph"/>
      </w:pPr>
      <w:r>
        <w:t xml:space="preserve">Since the MSVAR loses one observation due to the autoregressive structure, we need to align the target weights of the MSVAR and HMM models for a fair comparison, i.e., starting from the second date for the hidden states uncovered by the HMM model.</w:t>
      </w:r>
    </w:p>
    <w:p>
      <w:pPr>
        <w:pStyle w:val="BodyText"/>
      </w:pPr>
      <w:r>
        <w:t xml:space="preserve">First, let us look at the number of hidden states identified by each model.</w:t>
      </w:r>
    </w:p>
    <w:bookmarkStart w:id="23" w:name="regime-counts-plot"/>
    <w:p>
      <w:pPr>
        <w:pStyle w:val="CaptionedFigure"/>
      </w:pPr>
      <w:r>
        <w:drawing>
          <wp:inline>
            <wp:extent cx="4229100" cy="3381375"/>
            <wp:effectExtent b="0" l="0" r="0" t="0"/>
            <wp:docPr descr="Number of hidden states identified by HMM and MSVAR" title="" id="21" name="Picture"/>
            <a:graphic>
              <a:graphicData uri="http://schemas.openxmlformats.org/drawingml/2006/picture">
                <pic:pic>
                  <pic:nvPicPr>
                    <pic:cNvPr descr="report_files/figure-docx/regime-counts-plot-output-1.png" id="22" name="Picture"/>
                    <pic:cNvPicPr>
                      <a:picLocks noChangeArrowheads="1" noChangeAspect="1"/>
                    </pic:cNvPicPr>
                  </pic:nvPicPr>
                  <pic:blipFill>
                    <a:blip r:embed="rId20"/>
                    <a:stretch>
                      <a:fillRect/>
                    </a:stretch>
                  </pic:blipFill>
                  <pic:spPr bwMode="auto">
                    <a:xfrm>
                      <a:off x="0" y="0"/>
                      <a:ext cx="4229100" cy="3381375"/>
                    </a:xfrm>
                    <a:prstGeom prst="rect">
                      <a:avLst/>
                    </a:prstGeom>
                    <a:noFill/>
                    <a:ln w="9525">
                      <a:noFill/>
                      <a:headEnd/>
                      <a:tailEnd/>
                    </a:ln>
                  </pic:spPr>
                </pic:pic>
              </a:graphicData>
            </a:graphic>
          </wp:inline>
        </w:drawing>
      </w:r>
    </w:p>
    <w:p>
      <w:pPr>
        <w:pStyle w:val="ImageCaption"/>
      </w:pPr>
      <w:r>
        <w:t xml:space="preserve">Number of hidden states identified by HMM and MSVAR</w:t>
      </w:r>
    </w:p>
    <w:bookmarkEnd w:id="23"/>
    <w:p>
      <w:pPr>
        <w:pStyle w:val="BodyText"/>
      </w:pPr>
      <w:r>
        <w:t xml:space="preserve">It is evident that the HMM identifies more recessionary months than the MSVAR, implying that the HMM is more sensitive to short-term fluctuations in the macroeconomic data, while the MSVAR captures more persistent regimes. This has implications for the turnover of the TAA strategy, as the HMM may lead to more frequent rebalancing due to its sensitivity to short-term changes in the macroeconomic environment. We will see later on that this is one of the reasons why the HMM-based TAA strategy underperforms the MSVAR-based strategy, as the higher turnover leads to higher transaction costs and lower risk-adjusted returns.</w:t>
      </w:r>
    </w:p>
    <w:bookmarkStart w:id="24" w:name="regime-diff-table"/>
    <w:p>
      <w:pPr>
        <w:pStyle w:val="TableCaption"/>
      </w:pPr>
      <w:r>
        <w:t xml:space="preserve">Dates where regime classifications differ between HMM and MSVAR.</w:t>
      </w:r>
    </w:p>
    <w:tbl>
      <w:tblPr>
        <w:tblStyle w:val="Table"/>
        <w:tblW w:type="auto" w:w="0"/>
        <w:tblLook w:firstRow="1" w:lastRow="0" w:firstColumn="0" w:lastColumn="0" w:noHBand="0" w:noVBand="0" w:val="0020"/>
        <w:tblCaption w:val="Dates where regime classifications differ between HMM and MSVAR."/>
      </w:tblPr>
      <w:tblGrid>
        <w:gridCol w:w="1980"/>
        <w:gridCol w:w="1980"/>
        <w:gridCol w:w="1980"/>
        <w:gridCol w:w="1980"/>
      </w:tblGrid>
      <w:tr>
        <w:trPr>
          <w:tblHeader w:val="on"/>
        </w:trPr>
        <w:tc>
          <w:tcPr/>
          <w:p>
            <w:pPr>
              <w:pStyle w:val="Compact"/>
            </w:pPr>
          </w:p>
        </w:tc>
        <w:tc>
          <w:tcPr/>
          <w:p>
            <w:pPr>
              <w:pStyle w:val="Compact"/>
            </w:pPr>
            <w:r>
              <w:t xml:space="preserve">Date</w:t>
            </w:r>
          </w:p>
        </w:tc>
        <w:tc>
          <w:tcPr/>
          <w:p>
            <w:pPr>
              <w:pStyle w:val="Compact"/>
            </w:pPr>
            <w:r>
              <w:t xml:space="preserve">HMM</w:t>
            </w:r>
          </w:p>
        </w:tc>
        <w:tc>
          <w:tcPr/>
          <w:p>
            <w:pPr>
              <w:pStyle w:val="Compact"/>
            </w:pPr>
            <w:r>
              <w:t xml:space="preserve">MSVAR</w:t>
            </w:r>
          </w:p>
        </w:tc>
      </w:tr>
      <w:tr>
        <w:tc>
          <w:tcPr/>
          <w:p>
            <w:pPr>
              <w:pStyle w:val="Compact"/>
            </w:pPr>
            <w:r>
              <w:t xml:space="preserve">0</w:t>
            </w:r>
          </w:p>
        </w:tc>
        <w:tc>
          <w:tcPr/>
          <w:p>
            <w:pPr>
              <w:pStyle w:val="Compact"/>
            </w:pPr>
            <w:r>
              <w:t xml:space="preserve">2004-12-31</w:t>
            </w:r>
          </w:p>
        </w:tc>
        <w:tc>
          <w:tcPr/>
          <w:p>
            <w:pPr>
              <w:pStyle w:val="Compact"/>
            </w:pPr>
            <w:r>
              <w:t xml:space="preserve">Contraction</w:t>
            </w:r>
          </w:p>
        </w:tc>
        <w:tc>
          <w:tcPr/>
          <w:p>
            <w:pPr>
              <w:pStyle w:val="Compact"/>
            </w:pPr>
            <w:r>
              <w:t xml:space="preserve">Expansion</w:t>
            </w:r>
          </w:p>
        </w:tc>
      </w:tr>
      <w:tr>
        <w:tc>
          <w:tcPr/>
          <w:p>
            <w:pPr>
              <w:pStyle w:val="Compact"/>
            </w:pPr>
            <w:r>
              <w:t xml:space="preserve">1</w:t>
            </w:r>
          </w:p>
        </w:tc>
        <w:tc>
          <w:tcPr/>
          <w:p>
            <w:pPr>
              <w:pStyle w:val="Compact"/>
            </w:pPr>
            <w:r>
              <w:t xml:space="preserve">2005-01-31</w:t>
            </w:r>
          </w:p>
        </w:tc>
        <w:tc>
          <w:tcPr/>
          <w:p>
            <w:pPr>
              <w:pStyle w:val="Compact"/>
            </w:pPr>
            <w:r>
              <w:t xml:space="preserve">Contraction</w:t>
            </w:r>
          </w:p>
        </w:tc>
        <w:tc>
          <w:tcPr/>
          <w:p>
            <w:pPr>
              <w:pStyle w:val="Compact"/>
            </w:pPr>
            <w:r>
              <w:t xml:space="preserve">Expansion</w:t>
            </w:r>
          </w:p>
        </w:tc>
      </w:tr>
      <w:tr>
        <w:tc>
          <w:tcPr/>
          <w:p>
            <w:pPr>
              <w:pStyle w:val="Compact"/>
            </w:pPr>
            <w:r>
              <w:t xml:space="preserve">2</w:t>
            </w:r>
          </w:p>
        </w:tc>
        <w:tc>
          <w:tcPr/>
          <w:p>
            <w:pPr>
              <w:pStyle w:val="Compact"/>
            </w:pPr>
            <w:r>
              <w:t xml:space="preserve">2008-10-31</w:t>
            </w:r>
          </w:p>
        </w:tc>
        <w:tc>
          <w:tcPr/>
          <w:p>
            <w:pPr>
              <w:pStyle w:val="Compact"/>
            </w:pPr>
            <w:r>
              <w:t xml:space="preserve">Contraction</w:t>
            </w:r>
          </w:p>
        </w:tc>
        <w:tc>
          <w:tcPr/>
          <w:p>
            <w:pPr>
              <w:pStyle w:val="Compact"/>
            </w:pPr>
            <w:r>
              <w:t xml:space="preserve">Expansion</w:t>
            </w:r>
          </w:p>
        </w:tc>
      </w:tr>
      <w:tr>
        <w:tc>
          <w:tcPr/>
          <w:p>
            <w:pPr>
              <w:pStyle w:val="Compact"/>
            </w:pPr>
            <w:r>
              <w:t xml:space="preserve">3</w:t>
            </w:r>
          </w:p>
        </w:tc>
        <w:tc>
          <w:tcPr/>
          <w:p>
            <w:pPr>
              <w:pStyle w:val="Compact"/>
            </w:pPr>
            <w:r>
              <w:t xml:space="preserve">2008-11-30</w:t>
            </w:r>
          </w:p>
        </w:tc>
        <w:tc>
          <w:tcPr/>
          <w:p>
            <w:pPr>
              <w:pStyle w:val="Compact"/>
            </w:pPr>
            <w:r>
              <w:t xml:space="preserve">Contraction</w:t>
            </w:r>
          </w:p>
        </w:tc>
        <w:tc>
          <w:tcPr/>
          <w:p>
            <w:pPr>
              <w:pStyle w:val="Compact"/>
            </w:pPr>
            <w:r>
              <w:t xml:space="preserve">Expansion</w:t>
            </w:r>
          </w:p>
        </w:tc>
      </w:tr>
      <w:tr>
        <w:tc>
          <w:tcPr/>
          <w:p>
            <w:pPr>
              <w:pStyle w:val="Compact"/>
            </w:pPr>
            <w:r>
              <w:t xml:space="preserve">4</w:t>
            </w:r>
          </w:p>
        </w:tc>
        <w:tc>
          <w:tcPr/>
          <w:p>
            <w:pPr>
              <w:pStyle w:val="Compact"/>
            </w:pPr>
            <w:r>
              <w:t xml:space="preserve">2008-12-31</w:t>
            </w:r>
          </w:p>
        </w:tc>
        <w:tc>
          <w:tcPr/>
          <w:p>
            <w:pPr>
              <w:pStyle w:val="Compact"/>
            </w:pPr>
            <w:r>
              <w:t xml:space="preserve">Contraction</w:t>
            </w:r>
          </w:p>
        </w:tc>
        <w:tc>
          <w:tcPr/>
          <w:p>
            <w:pPr>
              <w:pStyle w:val="Compact"/>
            </w:pPr>
            <w:r>
              <w:t xml:space="preserve">Expansion</w:t>
            </w:r>
          </w:p>
        </w:tc>
      </w:tr>
      <w:tr>
        <w:tc>
          <w:tcPr/>
          <w:p>
            <w:pPr>
              <w:pStyle w:val="Compact"/>
            </w:pPr>
            <w:r>
              <w:t xml:space="preserve">5</w:t>
            </w:r>
          </w:p>
        </w:tc>
        <w:tc>
          <w:tcPr/>
          <w:p>
            <w:pPr>
              <w:pStyle w:val="Compact"/>
            </w:pPr>
            <w:r>
              <w:t xml:space="preserve">2009-01-31</w:t>
            </w:r>
          </w:p>
        </w:tc>
        <w:tc>
          <w:tcPr/>
          <w:p>
            <w:pPr>
              <w:pStyle w:val="Compact"/>
            </w:pPr>
            <w:r>
              <w:t xml:space="preserve">Contraction</w:t>
            </w:r>
          </w:p>
        </w:tc>
        <w:tc>
          <w:tcPr/>
          <w:p>
            <w:pPr>
              <w:pStyle w:val="Compact"/>
            </w:pPr>
            <w:r>
              <w:t xml:space="preserve">Expansion</w:t>
            </w:r>
          </w:p>
        </w:tc>
      </w:tr>
      <w:tr>
        <w:tc>
          <w:tcPr/>
          <w:p>
            <w:pPr>
              <w:pStyle w:val="Compact"/>
            </w:pPr>
            <w:r>
              <w:t xml:space="preserve">6</w:t>
            </w:r>
          </w:p>
        </w:tc>
        <w:tc>
          <w:tcPr/>
          <w:p>
            <w:pPr>
              <w:pStyle w:val="Compact"/>
            </w:pPr>
            <w:r>
              <w:t xml:space="preserve">2009-02-28</w:t>
            </w:r>
          </w:p>
        </w:tc>
        <w:tc>
          <w:tcPr/>
          <w:p>
            <w:pPr>
              <w:pStyle w:val="Compact"/>
            </w:pPr>
            <w:r>
              <w:t xml:space="preserve">Contraction</w:t>
            </w:r>
          </w:p>
        </w:tc>
        <w:tc>
          <w:tcPr/>
          <w:p>
            <w:pPr>
              <w:pStyle w:val="Compact"/>
            </w:pPr>
            <w:r>
              <w:t xml:space="preserve">Expansion</w:t>
            </w:r>
          </w:p>
        </w:tc>
      </w:tr>
      <w:tr>
        <w:tc>
          <w:tcPr/>
          <w:p>
            <w:pPr>
              <w:pStyle w:val="Compact"/>
            </w:pPr>
            <w:r>
              <w:t xml:space="preserve">7</w:t>
            </w:r>
          </w:p>
        </w:tc>
        <w:tc>
          <w:tcPr/>
          <w:p>
            <w:pPr>
              <w:pStyle w:val="Compact"/>
            </w:pPr>
            <w:r>
              <w:t xml:space="preserve">2009-03-31</w:t>
            </w:r>
          </w:p>
        </w:tc>
        <w:tc>
          <w:tcPr/>
          <w:p>
            <w:pPr>
              <w:pStyle w:val="Compact"/>
            </w:pPr>
            <w:r>
              <w:t xml:space="preserve">Contraction</w:t>
            </w:r>
          </w:p>
        </w:tc>
        <w:tc>
          <w:tcPr/>
          <w:p>
            <w:pPr>
              <w:pStyle w:val="Compact"/>
            </w:pPr>
            <w:r>
              <w:t xml:space="preserve">Expansion</w:t>
            </w:r>
          </w:p>
        </w:tc>
      </w:tr>
      <w:tr>
        <w:tc>
          <w:tcPr/>
          <w:p>
            <w:pPr>
              <w:pStyle w:val="Compact"/>
            </w:pPr>
            <w:r>
              <w:t xml:space="preserve">8</w:t>
            </w:r>
          </w:p>
        </w:tc>
        <w:tc>
          <w:tcPr/>
          <w:p>
            <w:pPr>
              <w:pStyle w:val="Compact"/>
            </w:pPr>
            <w:r>
              <w:t xml:space="preserve">2009-04-30</w:t>
            </w:r>
          </w:p>
        </w:tc>
        <w:tc>
          <w:tcPr/>
          <w:p>
            <w:pPr>
              <w:pStyle w:val="Compact"/>
            </w:pPr>
            <w:r>
              <w:t xml:space="preserve">Contraction</w:t>
            </w:r>
          </w:p>
        </w:tc>
        <w:tc>
          <w:tcPr/>
          <w:p>
            <w:pPr>
              <w:pStyle w:val="Compact"/>
            </w:pPr>
            <w:r>
              <w:t xml:space="preserve">Expansion</w:t>
            </w:r>
          </w:p>
        </w:tc>
      </w:tr>
      <w:tr>
        <w:tc>
          <w:tcPr/>
          <w:p>
            <w:pPr>
              <w:pStyle w:val="Compact"/>
            </w:pPr>
            <w:r>
              <w:t xml:space="preserve">9</w:t>
            </w:r>
          </w:p>
        </w:tc>
        <w:tc>
          <w:tcPr/>
          <w:p>
            <w:pPr>
              <w:pStyle w:val="Compact"/>
            </w:pPr>
            <w:r>
              <w:t xml:space="preserve">2009-05-31</w:t>
            </w:r>
          </w:p>
        </w:tc>
        <w:tc>
          <w:tcPr/>
          <w:p>
            <w:pPr>
              <w:pStyle w:val="Compact"/>
            </w:pPr>
            <w:r>
              <w:t xml:space="preserve">Contraction</w:t>
            </w:r>
          </w:p>
        </w:tc>
        <w:tc>
          <w:tcPr/>
          <w:p>
            <w:pPr>
              <w:pStyle w:val="Compact"/>
            </w:pPr>
            <w:r>
              <w:t xml:space="preserve">Expansion</w:t>
            </w:r>
          </w:p>
        </w:tc>
      </w:tr>
      <w:tr>
        <w:tc>
          <w:tcPr/>
          <w:p>
            <w:pPr>
              <w:pStyle w:val="Compact"/>
            </w:pPr>
            <w:r>
              <w:t xml:space="preserve">10</w:t>
            </w:r>
          </w:p>
        </w:tc>
        <w:tc>
          <w:tcPr/>
          <w:p>
            <w:pPr>
              <w:pStyle w:val="Compact"/>
            </w:pPr>
            <w:r>
              <w:t xml:space="preserve">2011-01-31</w:t>
            </w:r>
          </w:p>
        </w:tc>
        <w:tc>
          <w:tcPr/>
          <w:p>
            <w:pPr>
              <w:pStyle w:val="Compact"/>
            </w:pPr>
            <w:r>
              <w:t xml:space="preserve">Contraction</w:t>
            </w:r>
          </w:p>
        </w:tc>
        <w:tc>
          <w:tcPr/>
          <w:p>
            <w:pPr>
              <w:pStyle w:val="Compact"/>
            </w:pPr>
            <w:r>
              <w:t xml:space="preserve">Expansion</w:t>
            </w:r>
          </w:p>
        </w:tc>
      </w:tr>
      <w:tr>
        <w:tc>
          <w:tcPr/>
          <w:p>
            <w:pPr>
              <w:pStyle w:val="Compact"/>
            </w:pPr>
            <w:r>
              <w:t xml:space="preserve">11</w:t>
            </w:r>
          </w:p>
        </w:tc>
        <w:tc>
          <w:tcPr/>
          <w:p>
            <w:pPr>
              <w:pStyle w:val="Compact"/>
            </w:pPr>
            <w:r>
              <w:t xml:space="preserve">2012-12-31</w:t>
            </w:r>
          </w:p>
        </w:tc>
        <w:tc>
          <w:tcPr/>
          <w:p>
            <w:pPr>
              <w:pStyle w:val="Compact"/>
            </w:pPr>
            <w:r>
              <w:t xml:space="preserve">Contraction</w:t>
            </w:r>
          </w:p>
        </w:tc>
        <w:tc>
          <w:tcPr/>
          <w:p>
            <w:pPr>
              <w:pStyle w:val="Compact"/>
            </w:pPr>
            <w:r>
              <w:t xml:space="preserve">Expansion</w:t>
            </w:r>
          </w:p>
        </w:tc>
      </w:tr>
      <w:tr>
        <w:tc>
          <w:tcPr/>
          <w:p>
            <w:pPr>
              <w:pStyle w:val="Compact"/>
            </w:pPr>
            <w:r>
              <w:t xml:space="preserve">12</w:t>
            </w:r>
          </w:p>
        </w:tc>
        <w:tc>
          <w:tcPr/>
          <w:p>
            <w:pPr>
              <w:pStyle w:val="Compact"/>
            </w:pPr>
            <w:r>
              <w:t xml:space="preserve">2020-02-29</w:t>
            </w:r>
          </w:p>
        </w:tc>
        <w:tc>
          <w:tcPr/>
          <w:p>
            <w:pPr>
              <w:pStyle w:val="Compact"/>
            </w:pPr>
            <w:r>
              <w:t xml:space="preserve">Expansion</w:t>
            </w:r>
          </w:p>
        </w:tc>
        <w:tc>
          <w:tcPr/>
          <w:p>
            <w:pPr>
              <w:pStyle w:val="Compact"/>
            </w:pPr>
            <w:r>
              <w:t xml:space="preserve">Contraction</w:t>
            </w:r>
          </w:p>
        </w:tc>
      </w:tr>
      <w:tr>
        <w:tc>
          <w:tcPr/>
          <w:p>
            <w:pPr>
              <w:pStyle w:val="Compact"/>
            </w:pPr>
            <w:r>
              <w:t xml:space="preserve">13</w:t>
            </w:r>
          </w:p>
        </w:tc>
        <w:tc>
          <w:tcPr/>
          <w:p>
            <w:pPr>
              <w:pStyle w:val="Compact"/>
            </w:pPr>
            <w:r>
              <w:t xml:space="preserve">2020-11-30</w:t>
            </w:r>
          </w:p>
        </w:tc>
        <w:tc>
          <w:tcPr/>
          <w:p>
            <w:pPr>
              <w:pStyle w:val="Compact"/>
            </w:pPr>
            <w:r>
              <w:t xml:space="preserve">Expansion</w:t>
            </w:r>
          </w:p>
        </w:tc>
        <w:tc>
          <w:tcPr/>
          <w:p>
            <w:pPr>
              <w:pStyle w:val="Compact"/>
            </w:pPr>
            <w:r>
              <w:t xml:space="preserve">Contraction</w:t>
            </w:r>
          </w:p>
        </w:tc>
      </w:tr>
      <w:tr>
        <w:tc>
          <w:tcPr/>
          <w:p>
            <w:pPr>
              <w:pStyle w:val="Compact"/>
            </w:pPr>
            <w:r>
              <w:t xml:space="preserve">14</w:t>
            </w:r>
          </w:p>
        </w:tc>
        <w:tc>
          <w:tcPr/>
          <w:p>
            <w:pPr>
              <w:pStyle w:val="Compact"/>
            </w:pPr>
            <w:r>
              <w:t xml:space="preserve">2020-12-31</w:t>
            </w:r>
          </w:p>
        </w:tc>
        <w:tc>
          <w:tcPr/>
          <w:p>
            <w:pPr>
              <w:pStyle w:val="Compact"/>
            </w:pPr>
            <w:r>
              <w:t xml:space="preserve">Expansion</w:t>
            </w:r>
          </w:p>
        </w:tc>
        <w:tc>
          <w:tcPr/>
          <w:p>
            <w:pPr>
              <w:pStyle w:val="Compact"/>
            </w:pPr>
            <w:r>
              <w:t xml:space="preserve">Contraction</w:t>
            </w:r>
          </w:p>
        </w:tc>
      </w:tr>
      <w:tr>
        <w:tc>
          <w:tcPr/>
          <w:p>
            <w:pPr>
              <w:pStyle w:val="Compact"/>
            </w:pPr>
            <w:r>
              <w:t xml:space="preserve">15</w:t>
            </w:r>
          </w:p>
        </w:tc>
        <w:tc>
          <w:tcPr/>
          <w:p>
            <w:pPr>
              <w:pStyle w:val="Compact"/>
            </w:pPr>
            <w:r>
              <w:t xml:space="preserve">2021-01-31</w:t>
            </w:r>
          </w:p>
        </w:tc>
        <w:tc>
          <w:tcPr/>
          <w:p>
            <w:pPr>
              <w:pStyle w:val="Compact"/>
            </w:pPr>
            <w:r>
              <w:t xml:space="preserve">Expansion</w:t>
            </w:r>
          </w:p>
        </w:tc>
        <w:tc>
          <w:tcPr/>
          <w:p>
            <w:pPr>
              <w:pStyle w:val="Compact"/>
            </w:pPr>
            <w:r>
              <w:t xml:space="preserve">Contraction</w:t>
            </w:r>
          </w:p>
        </w:tc>
      </w:tr>
      <w:tr>
        <w:tc>
          <w:tcPr/>
          <w:p>
            <w:pPr>
              <w:pStyle w:val="Compact"/>
            </w:pPr>
            <w:r>
              <w:t xml:space="preserve">16</w:t>
            </w:r>
          </w:p>
        </w:tc>
        <w:tc>
          <w:tcPr/>
          <w:p>
            <w:pPr>
              <w:pStyle w:val="Compact"/>
            </w:pPr>
            <w:r>
              <w:t xml:space="preserve">2021-06-30</w:t>
            </w:r>
          </w:p>
        </w:tc>
        <w:tc>
          <w:tcPr/>
          <w:p>
            <w:pPr>
              <w:pStyle w:val="Compact"/>
            </w:pPr>
            <w:r>
              <w:t xml:space="preserve">Expansion</w:t>
            </w:r>
          </w:p>
        </w:tc>
        <w:tc>
          <w:tcPr/>
          <w:p>
            <w:pPr>
              <w:pStyle w:val="Compact"/>
            </w:pPr>
            <w:r>
              <w:t xml:space="preserve">Contraction</w:t>
            </w:r>
          </w:p>
        </w:tc>
      </w:tr>
      <w:tr>
        <w:tc>
          <w:tcPr/>
          <w:p>
            <w:pPr>
              <w:pStyle w:val="Compact"/>
            </w:pPr>
            <w:r>
              <w:t xml:space="preserve">17</w:t>
            </w:r>
          </w:p>
        </w:tc>
        <w:tc>
          <w:tcPr/>
          <w:p>
            <w:pPr>
              <w:pStyle w:val="Compact"/>
            </w:pPr>
            <w:r>
              <w:t xml:space="preserve">2021-07-31</w:t>
            </w:r>
          </w:p>
        </w:tc>
        <w:tc>
          <w:tcPr/>
          <w:p>
            <w:pPr>
              <w:pStyle w:val="Compact"/>
            </w:pPr>
            <w:r>
              <w:t xml:space="preserve">Expansion</w:t>
            </w:r>
          </w:p>
        </w:tc>
        <w:tc>
          <w:tcPr/>
          <w:p>
            <w:pPr>
              <w:pStyle w:val="Compact"/>
            </w:pPr>
            <w:r>
              <w:t xml:space="preserve">Contraction</w:t>
            </w:r>
          </w:p>
        </w:tc>
      </w:tr>
      <w:tr>
        <w:tc>
          <w:tcPr/>
          <w:p>
            <w:pPr>
              <w:pStyle w:val="Compact"/>
            </w:pPr>
            <w:r>
              <w:t xml:space="preserve">18</w:t>
            </w:r>
          </w:p>
        </w:tc>
        <w:tc>
          <w:tcPr/>
          <w:p>
            <w:pPr>
              <w:pStyle w:val="Compact"/>
            </w:pPr>
            <w:r>
              <w:t xml:space="preserve">2021-08-31</w:t>
            </w:r>
          </w:p>
        </w:tc>
        <w:tc>
          <w:tcPr/>
          <w:p>
            <w:pPr>
              <w:pStyle w:val="Compact"/>
            </w:pPr>
            <w:r>
              <w:t xml:space="preserve">Expansion</w:t>
            </w:r>
          </w:p>
        </w:tc>
        <w:tc>
          <w:tcPr/>
          <w:p>
            <w:pPr>
              <w:pStyle w:val="Compact"/>
            </w:pPr>
            <w:r>
              <w:t xml:space="preserve">Contraction</w:t>
            </w:r>
          </w:p>
        </w:tc>
      </w:tr>
      <w:tr>
        <w:tc>
          <w:tcPr/>
          <w:p>
            <w:pPr>
              <w:pStyle w:val="Compact"/>
            </w:pPr>
            <w:r>
              <w:t xml:space="preserve">19</w:t>
            </w:r>
          </w:p>
        </w:tc>
        <w:tc>
          <w:tcPr/>
          <w:p>
            <w:pPr>
              <w:pStyle w:val="Compact"/>
            </w:pPr>
            <w:r>
              <w:t xml:space="preserve">2021-12-31</w:t>
            </w:r>
          </w:p>
        </w:tc>
        <w:tc>
          <w:tcPr/>
          <w:p>
            <w:pPr>
              <w:pStyle w:val="Compact"/>
            </w:pPr>
            <w:r>
              <w:t xml:space="preserve">Expansion</w:t>
            </w:r>
          </w:p>
        </w:tc>
        <w:tc>
          <w:tcPr/>
          <w:p>
            <w:pPr>
              <w:pStyle w:val="Compact"/>
            </w:pPr>
            <w:r>
              <w:t xml:space="preserve">Contraction</w:t>
            </w:r>
          </w:p>
        </w:tc>
      </w:tr>
    </w:tbl>
    <w:bookmarkEnd w:id="24"/>
    <w:p>
      <w:pPr>
        <w:pStyle w:val="BodyText"/>
      </w:pPr>
      <w:r>
        <w:t xml:space="preserve">In total there are 20 months where the regime classifications differ between the two models, with the HMM identifying more contractionary months than the MSVAR. Eight of these months occur during the 2020 COVID pandemic, where the HMM identifies a normal regime while the MSVAR identifies a recessionary regime, which is more consistent with the economic conditions during that period. During the 2008 financial crisis, the HMM identifies more contractionary months than the MSVAR, which may be due to the HMM’s sensitivity to short-term fluctuations in the macroeconomic data.</w:t>
      </w:r>
    </w:p>
    <w:bookmarkEnd w:id="25"/>
    <w:bookmarkStart w:id="28" w:name="taa-strateies-vs-static-benchmarks"/>
    <w:p>
      <w:pPr>
        <w:pStyle w:val="Heading3"/>
      </w:pPr>
      <w:r>
        <w:t xml:space="preserve">TAA strateies vs static benchmarks</w:t>
      </w:r>
    </w:p>
    <w:p>
      <w:pPr>
        <w:pStyle w:val="FirstParagraph"/>
      </w:pPr>
      <w:r>
        <w:t xml:space="preserve">We split the asset returns data into a training set (1990-2008) and a test set (2009-2025) to evaluate the out-of-sample performance of the TAA strategies based on the HMM and MSVAR models, as well as the static benchmarks (60/40, equal-weight, buy-and-hold equity).</w:t>
      </w:r>
    </w:p>
    <w:bookmarkStart w:id="26" w:name="strategy-comparison-table"/>
    <w:p>
      <w:pPr>
        <w:pStyle w:val="TableCaption"/>
      </w:pPr>
      <w:r>
        <w:t xml:space="preserve">Performance metrics for TAA strategies based on HMM and MSVAR, as well as static benchmarks during the test period (2009-2025)</w:t>
      </w:r>
    </w:p>
    <w:tbl>
      <w:tblPr>
        <w:tblStyle w:val="Table"/>
        <w:tblW w:type="auto" w:w="0"/>
        <w:tblLook w:firstRow="1" w:lastRow="0" w:firstColumn="0" w:lastColumn="0" w:noHBand="0" w:noVBand="0" w:val="0020"/>
        <w:tblCaption w:val="Performance metrics for TAA strategies based on HMM and MSVAR, as well as static benchmarks during the test period (2009-2025)"/>
      </w:tblPr>
      <w:tblGrid>
        <w:gridCol w:w="1320"/>
        <w:gridCol w:w="1320"/>
        <w:gridCol w:w="1320"/>
        <w:gridCol w:w="1320"/>
        <w:gridCol w:w="1320"/>
        <w:gridCol w:w="1320"/>
      </w:tblGrid>
      <w:tr>
        <w:trPr>
          <w:tblHeader w:val="on"/>
        </w:trPr>
        <w:tc>
          <w:tcPr/>
          <w:p>
            <w:pPr>
              <w:pStyle w:val="Compact"/>
            </w:pPr>
          </w:p>
        </w:tc>
        <w:tc>
          <w:tcPr/>
          <w:p>
            <w:pPr>
              <w:pStyle w:val="Compact"/>
            </w:pPr>
            <w:r>
              <w:t xml:space="preserve">HMM</w:t>
            </w:r>
          </w:p>
        </w:tc>
        <w:tc>
          <w:tcPr/>
          <w:p>
            <w:pPr>
              <w:pStyle w:val="Compact"/>
            </w:pPr>
            <w:r>
              <w:t xml:space="preserve">MSVAR</w:t>
            </w:r>
          </w:p>
        </w:tc>
        <w:tc>
          <w:tcPr/>
          <w:p>
            <w:pPr>
              <w:pStyle w:val="Compact"/>
            </w:pPr>
            <w:r>
              <w:t xml:space="preserve">60_40</w:t>
            </w:r>
          </w:p>
        </w:tc>
        <w:tc>
          <w:tcPr/>
          <w:p>
            <w:pPr>
              <w:pStyle w:val="Compact"/>
            </w:pPr>
            <w:r>
              <w:t xml:space="preserve">Equal_Weight</w:t>
            </w:r>
          </w:p>
        </w:tc>
        <w:tc>
          <w:tcPr/>
          <w:p>
            <w:pPr>
              <w:pStyle w:val="Compact"/>
            </w:pPr>
            <w:r>
              <w:t xml:space="preserve">Buy_Hold_Equity</w:t>
            </w:r>
          </w:p>
        </w:tc>
      </w:tr>
      <w:tr>
        <w:trPr>
          <w:tblHeader w:val="on"/>
        </w:trPr>
        <w:tc>
          <w:tcPr/>
          <w:p>
            <w:pPr>
              <w:pStyle w:val="Compact"/>
            </w:pPr>
            <w:r>
              <w:t xml:space="preserve">Metric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Annualized Return</w:t>
            </w:r>
          </w:p>
        </w:tc>
        <w:tc>
          <w:tcPr/>
          <w:p>
            <w:pPr>
              <w:pStyle w:val="Compact"/>
            </w:pPr>
            <w:r>
              <w:t xml:space="preserve">0.105</w:t>
            </w:r>
          </w:p>
        </w:tc>
        <w:tc>
          <w:tcPr/>
          <w:p>
            <w:pPr>
              <w:pStyle w:val="Compact"/>
            </w:pPr>
            <w:r>
              <w:t xml:space="preserve">0.121</w:t>
            </w:r>
          </w:p>
        </w:tc>
        <w:tc>
          <w:tcPr/>
          <w:p>
            <w:pPr>
              <w:pStyle w:val="Compact"/>
            </w:pPr>
            <w:r>
              <w:t xml:space="preserve">0.101</w:t>
            </w:r>
          </w:p>
        </w:tc>
        <w:tc>
          <w:tcPr/>
          <w:p>
            <w:pPr>
              <w:pStyle w:val="Compact"/>
            </w:pPr>
            <w:r>
              <w:t xml:space="preserve">0.122</w:t>
            </w:r>
          </w:p>
        </w:tc>
        <w:tc>
          <w:tcPr/>
          <w:p>
            <w:pPr>
              <w:pStyle w:val="Compact"/>
            </w:pPr>
            <w:r>
              <w:t xml:space="preserve">0.155</w:t>
            </w:r>
          </w:p>
        </w:tc>
      </w:tr>
      <w:tr>
        <w:tc>
          <w:tcPr/>
          <w:p>
            <w:pPr>
              <w:pStyle w:val="Compact"/>
            </w:pPr>
            <w:r>
              <w:t xml:space="preserve">Annualized Volatility</w:t>
            </w:r>
          </w:p>
        </w:tc>
        <w:tc>
          <w:tcPr/>
          <w:p>
            <w:pPr>
              <w:pStyle w:val="Compact"/>
            </w:pPr>
            <w:r>
              <w:t xml:space="preserve">0.101</w:t>
            </w:r>
          </w:p>
        </w:tc>
        <w:tc>
          <w:tcPr/>
          <w:p>
            <w:pPr>
              <w:pStyle w:val="Compact"/>
            </w:pPr>
            <w:r>
              <w:t xml:space="preserve">0.095</w:t>
            </w:r>
          </w:p>
        </w:tc>
        <w:tc>
          <w:tcPr/>
          <w:p>
            <w:pPr>
              <w:pStyle w:val="Compact"/>
            </w:pPr>
            <w:r>
              <w:t xml:space="preserve">0.127</w:t>
            </w:r>
          </w:p>
        </w:tc>
        <w:tc>
          <w:tcPr/>
          <w:p>
            <w:pPr>
              <w:pStyle w:val="Compact"/>
            </w:pPr>
            <w:r>
              <w:t xml:space="preserve">0.097</w:t>
            </w:r>
          </w:p>
        </w:tc>
        <w:tc>
          <w:tcPr/>
          <w:p>
            <w:pPr>
              <w:pStyle w:val="Compact"/>
            </w:pPr>
            <w:r>
              <w:t xml:space="preserve">0.170</w:t>
            </w:r>
          </w:p>
        </w:tc>
      </w:tr>
      <w:tr>
        <w:tc>
          <w:tcPr/>
          <w:p>
            <w:pPr>
              <w:pStyle w:val="Compact"/>
            </w:pPr>
            <w:r>
              <w:t xml:space="preserve">Sharpe Ratio</w:t>
            </w:r>
          </w:p>
        </w:tc>
        <w:tc>
          <w:tcPr/>
          <w:p>
            <w:pPr>
              <w:pStyle w:val="Compact"/>
            </w:pPr>
            <w:r>
              <w:t xml:space="preserve">1.039</w:t>
            </w:r>
          </w:p>
        </w:tc>
        <w:tc>
          <w:tcPr/>
          <w:p>
            <w:pPr>
              <w:pStyle w:val="Compact"/>
            </w:pPr>
            <w:r>
              <w:t xml:space="preserve">1.249</w:t>
            </w:r>
          </w:p>
        </w:tc>
        <w:tc>
          <w:tcPr/>
          <w:p>
            <w:pPr>
              <w:pStyle w:val="Compact"/>
            </w:pPr>
            <w:r>
              <w:t xml:space="preserve">0.826</w:t>
            </w:r>
          </w:p>
        </w:tc>
        <w:tc>
          <w:tcPr/>
          <w:p>
            <w:pPr>
              <w:pStyle w:val="Compact"/>
            </w:pPr>
            <w:r>
              <w:t xml:space="preserve">1.243</w:t>
            </w:r>
          </w:p>
        </w:tc>
        <w:tc>
          <w:tcPr/>
          <w:p>
            <w:pPr>
              <w:pStyle w:val="Compact"/>
            </w:pPr>
            <w:r>
              <w:t xml:space="preserve">0.936</w:t>
            </w:r>
          </w:p>
        </w:tc>
      </w:tr>
      <w:tr>
        <w:tc>
          <w:tcPr/>
          <w:p>
            <w:pPr>
              <w:pStyle w:val="Compact"/>
            </w:pPr>
            <w:r>
              <w:t xml:space="preserve">Sortino Ratio</w:t>
            </w:r>
          </w:p>
        </w:tc>
        <w:tc>
          <w:tcPr/>
          <w:p>
            <w:pPr>
              <w:pStyle w:val="Compact"/>
            </w:pPr>
            <w:r>
              <w:t xml:space="preserve">1.674</w:t>
            </w:r>
          </w:p>
        </w:tc>
        <w:tc>
          <w:tcPr/>
          <w:p>
            <w:pPr>
              <w:pStyle w:val="Compact"/>
            </w:pPr>
            <w:r>
              <w:t xml:space="preserve">2.014</w:t>
            </w:r>
          </w:p>
        </w:tc>
        <w:tc>
          <w:tcPr/>
          <w:p>
            <w:pPr>
              <w:pStyle w:val="Compact"/>
            </w:pPr>
            <w:r>
              <w:t xml:space="preserve">1.392</w:t>
            </w:r>
          </w:p>
        </w:tc>
        <w:tc>
          <w:tcPr/>
          <w:p>
            <w:pPr>
              <w:pStyle w:val="Compact"/>
            </w:pPr>
            <w:r>
              <w:t xml:space="preserve">2.043</w:t>
            </w:r>
          </w:p>
        </w:tc>
        <w:tc>
          <w:tcPr/>
          <w:p>
            <w:pPr>
              <w:pStyle w:val="Compact"/>
            </w:pPr>
            <w:r>
              <w:t xml:space="preserve">1.428</w:t>
            </w:r>
          </w:p>
        </w:tc>
      </w:tr>
      <w:tr>
        <w:tc>
          <w:tcPr/>
          <w:p>
            <w:pPr>
              <w:pStyle w:val="Compact"/>
            </w:pPr>
            <w:r>
              <w:t xml:space="preserve">Max Drawdown</w:t>
            </w:r>
          </w:p>
        </w:tc>
        <w:tc>
          <w:tcPr/>
          <w:p>
            <w:pPr>
              <w:pStyle w:val="Compact"/>
            </w:pPr>
            <w:r>
              <w:t xml:space="preserve">-0.220</w:t>
            </w:r>
          </w:p>
        </w:tc>
        <w:tc>
          <w:tcPr/>
          <w:p>
            <w:pPr>
              <w:pStyle w:val="Compact"/>
            </w:pPr>
            <w:r>
              <w:t xml:space="preserve">-0.196</w:t>
            </w:r>
          </w:p>
        </w:tc>
        <w:tc>
          <w:tcPr/>
          <w:p>
            <w:pPr>
              <w:pStyle w:val="Compact"/>
            </w:pPr>
            <w:r>
              <w:t xml:space="preserve">-0.257</w:t>
            </w:r>
          </w:p>
        </w:tc>
        <w:tc>
          <w:tcPr/>
          <w:p>
            <w:pPr>
              <w:pStyle w:val="Compact"/>
            </w:pPr>
            <w:r>
              <w:t xml:space="preserve">-0.196</w:t>
            </w:r>
          </w:p>
        </w:tc>
        <w:tc>
          <w:tcPr/>
          <w:p>
            <w:pPr>
              <w:pStyle w:val="Compact"/>
            </w:pPr>
            <w:r>
              <w:t xml:space="preserve">-0.240</w:t>
            </w:r>
          </w:p>
        </w:tc>
      </w:tr>
      <w:tr>
        <w:tc>
          <w:tcPr/>
          <w:p>
            <w:pPr>
              <w:pStyle w:val="Compact"/>
            </w:pPr>
            <w:r>
              <w:t xml:space="preserve">Information Ratio vs 60/40</w:t>
            </w:r>
          </w:p>
        </w:tc>
        <w:tc>
          <w:tcPr/>
          <w:p>
            <w:pPr>
              <w:pStyle w:val="Compact"/>
            </w:pPr>
            <w:r>
              <w:t xml:space="preserve">0.013</w:t>
            </w:r>
          </w:p>
        </w:tc>
        <w:tc>
          <w:tcPr/>
          <w:p>
            <w:pPr>
              <w:pStyle w:val="Compact"/>
            </w:pPr>
            <w:r>
              <w:t xml:space="preserve">0.226</w:t>
            </w:r>
          </w:p>
        </w:tc>
        <w:tc>
          <w:tcPr/>
          <w:p>
            <w:pPr>
              <w:pStyle w:val="Compact"/>
            </w:pPr>
            <w:r>
              <w:t xml:space="preserve">NaN</w:t>
            </w:r>
          </w:p>
        </w:tc>
        <w:tc>
          <w:tcPr/>
          <w:p>
            <w:pPr>
              <w:pStyle w:val="Compact"/>
            </w:pPr>
            <w:r>
              <w:t xml:space="preserve">0.260</w:t>
            </w:r>
          </w:p>
        </w:tc>
        <w:tc>
          <w:tcPr/>
          <w:p>
            <w:pPr>
              <w:pStyle w:val="Compact"/>
            </w:pPr>
            <w:r>
              <w:t xml:space="preserve">0.684</w:t>
            </w:r>
          </w:p>
        </w:tc>
      </w:tr>
    </w:tbl>
    <w:bookmarkEnd w:id="26"/>
    <w:p>
      <w:pPr>
        <w:pStyle w:val="BodyText"/>
      </w:pPr>
      <w:r>
        <w:t xml:space="preserve"> </w:t>
      </w:r>
    </w:p>
    <w:bookmarkStart w:id="27" w:name="strategy-rankings-table"/>
    <w:p>
      <w:pPr>
        <w:pStyle w:val="TableCaption"/>
      </w:pPr>
      <w:r>
        <w:t xml:space="preserve">Net returns after transaction costs for TAA strategies based on HMM and MSVAR, as well as static benchmarks, ranked from highest (1) to lowest (5).</w:t>
      </w:r>
    </w:p>
    <w:tbl>
      <w:tblPr>
        <w:tblStyle w:val="Table"/>
        <w:tblW w:type="auto" w:w="0"/>
        <w:tblLook w:firstRow="1" w:lastRow="0" w:firstColumn="0" w:lastColumn="0" w:noHBand="0" w:noVBand="0" w:val="0020"/>
        <w:tblCaption w:val="Net returns after transaction costs for TAA strategies based on HMM and MSVAR, as well as static benchmarks, ranked from highest (1) to lowest (5)."/>
      </w:tblPr>
      <w:tblGrid>
        <w:gridCol w:w="1584"/>
        <w:gridCol w:w="1584"/>
        <w:gridCol w:w="1584"/>
        <w:gridCol w:w="1584"/>
        <w:gridCol w:w="1584"/>
      </w:tblGrid>
      <w:tr>
        <w:trPr>
          <w:tblHeader w:val="on"/>
        </w:trPr>
        <w:tc>
          <w:tcPr/>
          <w:p>
            <w:pPr>
              <w:pStyle w:val="Compact"/>
            </w:pPr>
          </w:p>
        </w:tc>
        <w:tc>
          <w:tcPr/>
          <w:p>
            <w:pPr>
              <w:pStyle w:val="Compact"/>
            </w:pPr>
            <w:r>
              <w:t xml:space="preserve">Drawdown Rank</w:t>
            </w:r>
          </w:p>
        </w:tc>
        <w:tc>
          <w:tcPr/>
          <w:p>
            <w:pPr>
              <w:pStyle w:val="Compact"/>
            </w:pPr>
            <w:r>
              <w:t xml:space="preserve">Sortino Rank</w:t>
            </w:r>
          </w:p>
        </w:tc>
        <w:tc>
          <w:tcPr/>
          <w:p>
            <w:pPr>
              <w:pStyle w:val="Compact"/>
            </w:pPr>
            <w:r>
              <w:t xml:space="preserve">Sharpe Rank</w:t>
            </w:r>
          </w:p>
        </w:tc>
        <w:tc>
          <w:tcPr/>
          <w:p>
            <w:pPr>
              <w:pStyle w:val="Compact"/>
            </w:pPr>
            <w:r>
              <w:t xml:space="preserve">Return Rank</w:t>
            </w:r>
          </w:p>
        </w:tc>
      </w:tr>
      <w:tr>
        <w:trPr>
          <w:tblHeader w:val="on"/>
        </w:trPr>
        <w:tc>
          <w:tcPr/>
          <w:p>
            <w:pPr>
              <w:pStyle w:val="Compact"/>
            </w:pPr>
            <w:r>
              <w:t xml:space="preserve">Strategy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MSVAR</w:t>
            </w:r>
          </w:p>
        </w:tc>
        <w:tc>
          <w:tcPr/>
          <w:p>
            <w:pPr>
              <w:pStyle w:val="Compact"/>
            </w:pPr>
            <w:r>
              <w:t xml:space="preserve">1.0</w:t>
            </w:r>
          </w:p>
        </w:tc>
        <w:tc>
          <w:tcPr/>
          <w:p>
            <w:pPr>
              <w:pStyle w:val="Compact"/>
            </w:pPr>
            <w:r>
              <w:t xml:space="preserve">2.0</w:t>
            </w:r>
          </w:p>
        </w:tc>
        <w:tc>
          <w:tcPr/>
          <w:p>
            <w:pPr>
              <w:pStyle w:val="Compact"/>
            </w:pPr>
            <w:r>
              <w:t xml:space="preserve">1.0</w:t>
            </w:r>
          </w:p>
        </w:tc>
        <w:tc>
          <w:tcPr/>
          <w:p>
            <w:pPr>
              <w:pStyle w:val="Compact"/>
            </w:pPr>
            <w:r>
              <w:t xml:space="preserve">3.0</w:t>
            </w:r>
          </w:p>
        </w:tc>
      </w:tr>
      <w:tr>
        <w:tc>
          <w:tcPr/>
          <w:p>
            <w:pPr>
              <w:pStyle w:val="Compact"/>
            </w:pPr>
            <w:r>
              <w:t xml:space="preserve">Equal_Weight</w:t>
            </w:r>
          </w:p>
        </w:tc>
        <w:tc>
          <w:tcPr/>
          <w:p>
            <w:pPr>
              <w:pStyle w:val="Compact"/>
            </w:pPr>
            <w:r>
              <w:t xml:space="preserve">2.0</w:t>
            </w:r>
          </w:p>
        </w:tc>
        <w:tc>
          <w:tcPr/>
          <w:p>
            <w:pPr>
              <w:pStyle w:val="Compact"/>
            </w:pPr>
            <w:r>
              <w:t xml:space="preserve">1.0</w:t>
            </w:r>
          </w:p>
        </w:tc>
        <w:tc>
          <w:tcPr/>
          <w:p>
            <w:pPr>
              <w:pStyle w:val="Compact"/>
            </w:pPr>
            <w:r>
              <w:t xml:space="preserve">2.0</w:t>
            </w:r>
          </w:p>
        </w:tc>
        <w:tc>
          <w:tcPr/>
          <w:p>
            <w:pPr>
              <w:pStyle w:val="Compact"/>
            </w:pPr>
            <w:r>
              <w:t xml:space="preserve">2.0</w:t>
            </w:r>
          </w:p>
        </w:tc>
      </w:tr>
      <w:tr>
        <w:tc>
          <w:tcPr/>
          <w:p>
            <w:pPr>
              <w:pStyle w:val="Compact"/>
            </w:pPr>
            <w:r>
              <w:t xml:space="preserve">HMM</w:t>
            </w:r>
          </w:p>
        </w:tc>
        <w:tc>
          <w:tcPr/>
          <w:p>
            <w:pPr>
              <w:pStyle w:val="Compact"/>
            </w:pPr>
            <w:r>
              <w:t xml:space="preserve">3.0</w:t>
            </w:r>
          </w:p>
        </w:tc>
        <w:tc>
          <w:tcPr/>
          <w:p>
            <w:pPr>
              <w:pStyle w:val="Compact"/>
            </w:pPr>
            <w:r>
              <w:t xml:space="preserve">3.0</w:t>
            </w:r>
          </w:p>
        </w:tc>
        <w:tc>
          <w:tcPr/>
          <w:p>
            <w:pPr>
              <w:pStyle w:val="Compact"/>
            </w:pPr>
            <w:r>
              <w:t xml:space="preserve">3.0</w:t>
            </w:r>
          </w:p>
        </w:tc>
        <w:tc>
          <w:tcPr/>
          <w:p>
            <w:pPr>
              <w:pStyle w:val="Compact"/>
            </w:pPr>
            <w:r>
              <w:t xml:space="preserve">4.0</w:t>
            </w:r>
          </w:p>
        </w:tc>
      </w:tr>
      <w:tr>
        <w:tc>
          <w:tcPr/>
          <w:p>
            <w:pPr>
              <w:pStyle w:val="Compact"/>
            </w:pPr>
            <w:r>
              <w:t xml:space="preserve">Buy_Hold_Equity</w:t>
            </w:r>
          </w:p>
        </w:tc>
        <w:tc>
          <w:tcPr/>
          <w:p>
            <w:pPr>
              <w:pStyle w:val="Compact"/>
            </w:pPr>
            <w:r>
              <w:t xml:space="preserve">4.0</w:t>
            </w:r>
          </w:p>
        </w:tc>
        <w:tc>
          <w:tcPr/>
          <w:p>
            <w:pPr>
              <w:pStyle w:val="Compact"/>
            </w:pPr>
            <w:r>
              <w:t xml:space="preserve">4.0</w:t>
            </w:r>
          </w:p>
        </w:tc>
        <w:tc>
          <w:tcPr/>
          <w:p>
            <w:pPr>
              <w:pStyle w:val="Compact"/>
            </w:pPr>
            <w:r>
              <w:t xml:space="preserve">4.0</w:t>
            </w:r>
          </w:p>
        </w:tc>
        <w:tc>
          <w:tcPr/>
          <w:p>
            <w:pPr>
              <w:pStyle w:val="Compact"/>
            </w:pPr>
            <w:r>
              <w:t xml:space="preserve">1.0</w:t>
            </w:r>
          </w:p>
        </w:tc>
      </w:tr>
      <w:tr>
        <w:tc>
          <w:tcPr/>
          <w:p>
            <w:pPr>
              <w:pStyle w:val="Compact"/>
            </w:pPr>
            <w:r>
              <w:t xml:space="preserve">60_40</w:t>
            </w:r>
          </w:p>
        </w:tc>
        <w:tc>
          <w:tcPr/>
          <w:p>
            <w:pPr>
              <w:pStyle w:val="Compact"/>
            </w:pPr>
            <w:r>
              <w:t xml:space="preserve">5.0</w:t>
            </w:r>
          </w:p>
        </w:tc>
        <w:tc>
          <w:tcPr/>
          <w:p>
            <w:pPr>
              <w:pStyle w:val="Compact"/>
            </w:pPr>
            <w:r>
              <w:t xml:space="preserve">5.0</w:t>
            </w:r>
          </w:p>
        </w:tc>
        <w:tc>
          <w:tcPr/>
          <w:p>
            <w:pPr>
              <w:pStyle w:val="Compact"/>
            </w:pPr>
            <w:r>
              <w:t xml:space="preserve">5.0</w:t>
            </w:r>
          </w:p>
        </w:tc>
        <w:tc>
          <w:tcPr/>
          <w:p>
            <w:pPr>
              <w:pStyle w:val="Compact"/>
            </w:pPr>
            <w:r>
              <w:t xml:space="preserve">5.0</w:t>
            </w:r>
          </w:p>
        </w:tc>
      </w:tr>
    </w:tbl>
    <w:bookmarkEnd w:id="27"/>
    <w:p>
      <w:pPr>
        <w:pStyle w:val="BodyText"/>
      </w:pPr>
      <w:r>
        <w:t xml:space="preserve">Overall the MSVAR-based TAA strategy outperforms the HMM-based strategy on all the key performance metrics, including annualized return, volatility, Sharpe ratio, Sortino ratio and maximum drawdown. This supports our hypothesis that the autoregressive structure of the MSVAR model leads to more stable and perhaps more accurate regime classifications, leading to better risk-adjusted performance of the TAA strategy.</w:t>
      </w:r>
    </w:p>
    <w:p>
      <w:pPr>
        <w:pStyle w:val="BodyText"/>
      </w:pPr>
      <w:r>
        <w:t xml:space="preserve">The worst strategies are the buy-and-hold equity and the 60/40 static benchmark. In particular,the 60/40 benchmark performs worst in all the performance metrics, which is consistent with the findings in recent literature that the traditional 60/40 portfolio has underperformed in the low interest rate environment of the past decade. The buy-and-hold equity strategy has the highest annualized return, but also the highest volatility and maximum drawdown, leading to a lower Sharpe ratio and Sortino ratio compared to the MSVAR-based TAA strategy.</w:t>
      </w:r>
    </w:p>
    <w:p>
      <w:pPr>
        <w:pStyle w:val="BodyText"/>
      </w:pPr>
      <w:r>
        <w:t xml:space="preserve">Overall the equal-weight and the MSVAR-based TAA strategies are the top two strategies. The HMM-based TAA is ranked third, outperforming the buy-and-hold equity and the 60/40 benchmark, but still lagging behind the MSVAR-based TAA strategy.</w:t>
      </w:r>
    </w:p>
    <w:bookmarkEnd w:id="28"/>
    <w:bookmarkEnd w:id="29"/>
    <w:sectPr w:rsidR="009F5EA2">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02DAC09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1746444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F5EA2"/>
    <w:rsid w:val="00107591"/>
    <w:rsid w:val="001A76D3"/>
    <w:rsid w:val="002B1E20"/>
    <w:rsid w:val="002D43AB"/>
    <w:rsid w:val="00407AD2"/>
    <w:rsid w:val="005355A3"/>
    <w:rsid w:val="00597111"/>
    <w:rsid w:val="005F2832"/>
    <w:rsid w:val="008E2701"/>
    <w:rsid w:val="00982C2D"/>
    <w:rsid w:val="009F5EA2"/>
    <w:rsid w:val="00A95690"/>
    <w:rsid w:val="00AD2357"/>
    <w:rsid w:val="00B20D53"/>
    <w:rsid w:val="00C60D18"/>
    <w:rsid w:val="00EA4AF7"/>
    <w:rsid w:val="00F07A7A"/>
    <w:rsid w:val="00FF1F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2D43AB"/>
    <w:pPr>
      <w:keepNext/>
      <w:keepLines/>
      <w:spacing w:after="80" w:before="360"/>
      <w:outlineLvl w:val="0"/>
    </w:pPr>
    <w:rPr>
      <w:rFonts w:ascii="Times New Roman" w:cstheme="majorBidi" w:eastAsiaTheme="majorEastAsia" w:hAnsi="Times New Roman"/>
      <w:b/>
      <w:color w:themeColor="text1" w:val="000000"/>
      <w:sz w:val="32"/>
      <w:szCs w:val="40"/>
    </w:rPr>
  </w:style>
  <w:style w:styleId="Heading2" w:type="paragraph">
    <w:name w:val="heading 2"/>
    <w:basedOn w:val="Normal"/>
    <w:next w:val="BodyText"/>
    <w:link w:val="Heading2Char"/>
    <w:uiPriority w:val="9"/>
    <w:semiHidden/>
    <w:unhideWhenUsed/>
    <w:qFormat/>
    <w:rsid w:val="002D43AB"/>
    <w:pPr>
      <w:keepNext/>
      <w:keepLines/>
      <w:spacing w:after="80" w:before="160"/>
      <w:outlineLvl w:val="1"/>
    </w:pPr>
    <w:rPr>
      <w:rFonts w:ascii="Times New Roman" w:cstheme="majorBidi" w:eastAsiaTheme="majorEastAsia" w:hAnsi="Times New Roman"/>
      <w:b/>
      <w:color w:themeColor="text1" w:val="000000"/>
      <w:sz w:val="28"/>
      <w:szCs w:val="32"/>
    </w:rPr>
  </w:style>
  <w:style w:styleId="Heading3" w:type="paragraph">
    <w:name w:val="heading 3"/>
    <w:basedOn w:val="Normal"/>
    <w:next w:val="BodyText"/>
    <w:link w:val="Heading3Char"/>
    <w:uiPriority w:val="9"/>
    <w:semiHidden/>
    <w:unhideWhenUsed/>
    <w:qFormat/>
    <w:rsid w:val="00F07A7A"/>
    <w:pPr>
      <w:keepNext/>
      <w:keepLines/>
      <w:spacing w:after="80" w:before="160"/>
      <w:outlineLvl w:val="2"/>
    </w:pPr>
    <w:rPr>
      <w:rFonts w:ascii="Times New Roman" w:cstheme="majorBidi" w:eastAsiaTheme="majorEastAsia" w:hAnsi="Times New Roman"/>
      <w:b/>
      <w:color w:themeColor="text1" w:val="000000"/>
      <w:sz w:val="22"/>
      <w:szCs w:val="28"/>
    </w:rPr>
  </w:style>
  <w:style w:styleId="Heading4" w:type="paragraph">
    <w:name w:val="heading 4"/>
    <w:basedOn w:val="Normal"/>
    <w:next w:val="BodyText"/>
    <w:link w:val="Heading4Char"/>
    <w:uiPriority w:val="9"/>
    <w:semiHidden/>
    <w:unhideWhenUsed/>
    <w:qFormat/>
    <w:rsid w:val="00982C2D"/>
    <w:pPr>
      <w:keepNext/>
      <w:keepLines/>
      <w:spacing w:after="40" w:before="80"/>
      <w:outlineLvl w:val="3"/>
    </w:pPr>
    <w:rPr>
      <w:rFonts w:ascii="Times New Roman" w:cstheme="majorBidi" w:eastAsiaTheme="majorEastAsia" w:hAnsi="Times New Roman"/>
      <w:i/>
      <w:iCs/>
      <w:color w:themeColor="text1" w:val="000000"/>
    </w:rPr>
  </w:style>
  <w:style w:styleId="Heading5" w:type="paragraph">
    <w:name w:val="heading 5"/>
    <w:basedOn w:val="Normal"/>
    <w:next w:val="BodyText"/>
    <w:link w:val="Heading5Char"/>
    <w:uiPriority w:val="9"/>
    <w:semiHidden/>
    <w:unhideWhenUsed/>
    <w:qFormat/>
    <w:rsid w:val="00982C2D"/>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982C2D"/>
    <w:pPr>
      <w:spacing w:after="180" w:before="180"/>
    </w:pPr>
    <w:rPr>
      <w:rFonts w:ascii="Times New Roman" w:hAnsi="Times New Roman"/>
      <w:sz w:val="22"/>
    </w:rPr>
  </w:style>
  <w:style w:customStyle="1" w:styleId="FirstParagraph" w:type="paragraph">
    <w:name w:val="First Paragraph"/>
    <w:basedOn w:val="BodyText"/>
    <w:next w:val="BodyText"/>
    <w:qFormat/>
    <w:rsid w:val="00EA4AF7"/>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EA4AF7"/>
    <w:pPr>
      <w:spacing w:after="80"/>
      <w:contextualSpacing/>
      <w:jc w:val="center"/>
    </w:pPr>
    <w:rPr>
      <w:rFonts w:ascii="Times New Roman" w:cstheme="majorBidi" w:eastAsiaTheme="majorEastAsia" w:hAnsi="Times New Roman"/>
      <w:sz w:val="56"/>
      <w:szCs w:val="56"/>
    </w:rPr>
  </w:style>
  <w:style w:customStyle="1" w:styleId="TitleChar" w:type="character">
    <w:name w:val="Title Char"/>
    <w:basedOn w:val="DefaultParagraphFont"/>
    <w:link w:val="Title"/>
    <w:uiPriority w:val="10"/>
    <w:rsid w:val="00EA4AF7"/>
    <w:rPr>
      <w:rFonts w:ascii="Times New Roman" w:cstheme="majorBidi" w:eastAsiaTheme="majorEastAsia" w:hAnsi="Times New Roman"/>
      <w:sz w:val="56"/>
      <w:szCs w:val="56"/>
    </w:rPr>
  </w:style>
  <w:style w:styleId="Subtitle" w:type="paragraph">
    <w:name w:val="Subtitle"/>
    <w:basedOn w:val="Title"/>
    <w:next w:val="BodyText"/>
    <w:link w:val="SubtitleChar"/>
    <w:uiPriority w:val="11"/>
    <w:qFormat/>
    <w:rsid w:val="00EA4AF7"/>
    <w:pPr>
      <w:numPr>
        <w:ilvl w:val="1"/>
      </w:numPr>
    </w:pPr>
    <w:rPr>
      <w:spacing w:val="15"/>
      <w:sz w:val="28"/>
      <w:szCs w:val="28"/>
    </w:rPr>
  </w:style>
  <w:style w:customStyle="1" w:styleId="SubtitleChar" w:type="character">
    <w:name w:val="Subtitle Char"/>
    <w:basedOn w:val="DefaultParagraphFont"/>
    <w:link w:val="Subtitle"/>
    <w:uiPriority w:val="11"/>
    <w:rsid w:val="00EA4AF7"/>
    <w:rPr>
      <w:rFonts w:ascii="Times New Roman" w:cstheme="majorBidi" w:eastAsiaTheme="majorEastAsia" w:hAnsi="Times New Roma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EA4AF7"/>
    <w:pPr>
      <w:keepNext/>
      <w:keepLines/>
      <w:spacing w:after="300" w:before="100"/>
    </w:pPr>
    <w:rPr>
      <w:rFonts w:ascii="Times New Roman" w:hAnsi="Times New Roman"/>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D43AB"/>
    <w:rPr>
      <w:rFonts w:ascii="Times New Roman" w:cstheme="majorBidi" w:eastAsiaTheme="majorEastAsia" w:hAnsi="Times New Roman"/>
      <w:b/>
      <w:color w:themeColor="text1" w:val="000000"/>
      <w:sz w:val="32"/>
      <w:szCs w:val="40"/>
    </w:rPr>
  </w:style>
  <w:style w:customStyle="1" w:styleId="Heading2Char" w:type="character">
    <w:name w:val="Heading 2 Char"/>
    <w:basedOn w:val="DefaultParagraphFont"/>
    <w:link w:val="Heading2"/>
    <w:uiPriority w:val="9"/>
    <w:semiHidden/>
    <w:rsid w:val="002D43AB"/>
    <w:rPr>
      <w:rFonts w:ascii="Times New Roman" w:cstheme="majorBidi" w:eastAsiaTheme="majorEastAsia" w:hAnsi="Times New Roman"/>
      <w:b/>
      <w:color w:themeColor="text1" w:val="000000"/>
      <w:sz w:val="28"/>
      <w:szCs w:val="32"/>
    </w:rPr>
  </w:style>
  <w:style w:customStyle="1" w:styleId="Heading3Char" w:type="character">
    <w:name w:val="Heading 3 Char"/>
    <w:basedOn w:val="DefaultParagraphFont"/>
    <w:link w:val="Heading3"/>
    <w:uiPriority w:val="9"/>
    <w:semiHidden/>
    <w:rsid w:val="00F07A7A"/>
    <w:rPr>
      <w:rFonts w:ascii="Times New Roman" w:cstheme="majorBidi" w:eastAsiaTheme="majorEastAsia" w:hAnsi="Times New Roman"/>
      <w:b/>
      <w:color w:themeColor="text1" w:val="000000"/>
      <w:sz w:val="22"/>
      <w:szCs w:val="28"/>
    </w:rPr>
  </w:style>
  <w:style w:customStyle="1" w:styleId="Heading4Char" w:type="character">
    <w:name w:val="Heading 4 Char"/>
    <w:basedOn w:val="DefaultParagraphFont"/>
    <w:link w:val="Heading4"/>
    <w:uiPriority w:val="9"/>
    <w:semiHidden/>
    <w:rsid w:val="00982C2D"/>
    <w:rPr>
      <w:rFonts w:ascii="Times New Roman" w:cstheme="majorBidi" w:eastAsiaTheme="majorEastAsia" w:hAnsi="Times New Roman"/>
      <w:i/>
      <w:iCs/>
      <w:color w:themeColor="text1" w:val="000000"/>
    </w:rPr>
  </w:style>
  <w:style w:customStyle="1" w:styleId="Heading5Char" w:type="character">
    <w:name w:val="Heading 5 Char"/>
    <w:basedOn w:val="DefaultParagraphFont"/>
    <w:link w:val="Heading5"/>
    <w:uiPriority w:val="9"/>
    <w:semiHidden/>
    <w:rsid w:val="00982C2D"/>
    <w:rPr>
      <w:rFonts w:cstheme="majorBidi" w:eastAsiaTheme="majorEastAsia"/>
      <w:color w:themeColor="text1"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FF1F3C"/>
    <w:rPr>
      <w:rFonts w:ascii="Times New Roman" w:hAnsi="Times New Roman"/>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Grid"/>
    <w:semiHidden/>
    <w:unhideWhenUsed/>
    <w:qFormat/>
    <w:rsid w:val="00A95690"/>
    <w:rPr>
      <w:rFonts w:ascii="Times New Roman" w:hAnsi="Times New Roman"/>
      <w:sz w:val="20"/>
      <w:szCs w:val="20"/>
      <w:lang w:eastAsia="fr-FR" w:val="fr-FR"/>
    </w:rPr>
    <w:tblPr>
      <w:tblBorders>
        <w:top w:color="auto" w:space="0" w:sz="12" w:val="single"/>
        <w:left w:color="auto" w:space="0" w:sz="0" w:val="none"/>
        <w:bottom w:color="auto" w:space="0" w:sz="12" w:val="single"/>
        <w:right w:color="auto" w:space="0" w:sz="0" w:val="none"/>
        <w:insideH w:color="auto" w:space="0" w:sz="0" w:val="none"/>
      </w:tblBorders>
    </w:tblPr>
    <w:tcPr>
      <w:shd w:color="auto" w:fill="auto" w:val="clear"/>
    </w:tc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qFormat/>
    <w:rsid w:val="00EA4AF7"/>
    <w:pPr>
      <w:keepNext/>
      <w:keepLines/>
      <w:spacing w:after="0"/>
    </w:pPr>
    <w:rPr>
      <w:rFonts w:ascii="Times New Roman" w:hAnsi="Times New Roman"/>
      <w:b/>
    </w:rPr>
  </w:style>
  <w:style w:customStyle="1" w:styleId="Definition" w:type="paragraph">
    <w:name w:val="Definition"/>
    <w:basedOn w:val="Normal"/>
    <w:rsid w:val="00EA4AF7"/>
    <w:rPr>
      <w:rFonts w:ascii="Times New Roman" w:hAnsi="Times New Roman"/>
    </w:rPr>
  </w:style>
  <w:style w:styleId="Caption" w:type="paragraph">
    <w:name w:val="caption"/>
    <w:basedOn w:val="Normal"/>
    <w:link w:val="CaptionChar"/>
    <w:pPr>
      <w:spacing w:after="120"/>
    </w:pPr>
    <w:rPr>
      <w:i/>
    </w:rPr>
  </w:style>
  <w:style w:customStyle="1" w:styleId="TableCaption" w:type="paragraph">
    <w:name w:val="Table Caption"/>
    <w:basedOn w:val="Caption"/>
    <w:qFormat/>
    <w:rsid w:val="00EA4AF7"/>
    <w:pPr>
      <w:keepNext/>
    </w:pPr>
    <w:rPr>
      <w:rFonts w:ascii="Times New Roman" w:hAnsi="Times New Roman"/>
    </w:rPr>
  </w:style>
  <w:style w:customStyle="1" w:styleId="ImageCaption" w:type="paragraph">
    <w:name w:val="Image Caption"/>
    <w:basedOn w:val="Caption"/>
    <w:qFormat/>
    <w:rsid w:val="00EA4AF7"/>
    <w:rPr>
      <w:rFonts w:ascii="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styleId="TableProfessional" w:type="table">
    <w:name w:val="Table Professional"/>
    <w:basedOn w:val="TableNormal"/>
    <w:semiHidden/>
    <w:unhideWhenUsed/>
    <w:rsid w:val="002B1E20"/>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Grid" w:type="table">
    <w:name w:val="Table Grid"/>
    <w:basedOn w:val="TableNormal"/>
    <w:rsid w:val="00FF1F3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64</Words>
  <Characters>358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
  <cp:keywords/>
  <dcterms:created xsi:type="dcterms:W3CDTF">2026-05-10T22:12:07Z</dcterms:created>
  <dcterms:modified xsi:type="dcterms:W3CDTF">2026-05-10T22:12:07Z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