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9047" w14:textId="7ADF4E57" w:rsidR="008B5320" w:rsidRDefault="008B5320" w:rsidP="008B5320">
      <w:pPr>
        <w:spacing w:afterLines="50" w:after="120"/>
        <w:ind w:firstLineChars="200" w:firstLine="1044"/>
        <w:jc w:val="center"/>
        <w:rPr>
          <w:rFonts w:ascii="宋体" w:eastAsia="宋体" w:hAnsi="宋体"/>
          <w:b/>
          <w:bCs/>
          <w:sz w:val="52"/>
          <w:szCs w:val="52"/>
        </w:rPr>
      </w:pPr>
      <w:r w:rsidRPr="008B5320">
        <w:rPr>
          <w:rFonts w:ascii="宋体" w:eastAsia="宋体" w:hAnsi="宋体"/>
          <w:b/>
          <w:bCs/>
          <w:sz w:val="52"/>
          <w:szCs w:val="52"/>
        </w:rPr>
        <w:t>大数据环境异常检测技术的综合评述</w:t>
      </w:r>
    </w:p>
    <w:p w14:paraId="11F1B0FF" w14:textId="3932FD4E" w:rsidR="008B5320" w:rsidRPr="008B5320" w:rsidRDefault="008B5320" w:rsidP="008B5320">
      <w:pPr>
        <w:spacing w:afterLines="100" w:after="240"/>
        <w:ind w:firstLineChars="200" w:firstLine="440"/>
        <w:jc w:val="center"/>
        <w:rPr>
          <w:rFonts w:ascii="楷体" w:eastAsia="楷体" w:hAnsi="楷体"/>
          <w:sz w:val="22"/>
        </w:rPr>
      </w:pPr>
      <w:r>
        <w:rPr>
          <w:rFonts w:ascii="楷体" w:eastAsia="楷体" w:hAnsi="楷体" w:hint="eastAsia"/>
          <w:sz w:val="22"/>
        </w:rPr>
        <w:t xml:space="preserve">20230461班      </w:t>
      </w:r>
      <w:r w:rsidRPr="008B5320">
        <w:rPr>
          <w:rFonts w:ascii="楷体" w:eastAsia="楷体" w:hAnsi="楷体" w:hint="eastAsia"/>
          <w:sz w:val="22"/>
        </w:rPr>
        <w:t>2023040620      孔维彬</w:t>
      </w:r>
    </w:p>
    <w:p w14:paraId="2F53BA01" w14:textId="77777777" w:rsidR="008B5320" w:rsidRPr="008B5320" w:rsidRDefault="008B5320" w:rsidP="008B5320">
      <w:pPr>
        <w:rPr>
          <w:rFonts w:ascii="宋体" w:eastAsia="宋体" w:hAnsi="宋体"/>
          <w:b/>
          <w:bCs/>
          <w:sz w:val="28"/>
          <w:szCs w:val="28"/>
        </w:rPr>
      </w:pPr>
      <w:r w:rsidRPr="008B5320">
        <w:rPr>
          <w:rFonts w:ascii="宋体" w:eastAsia="宋体" w:hAnsi="宋体"/>
          <w:b/>
          <w:bCs/>
          <w:sz w:val="28"/>
          <w:szCs w:val="28"/>
        </w:rPr>
        <w:t>大数据时代的异常检测导论</w:t>
      </w:r>
    </w:p>
    <w:p w14:paraId="1E0D7059" w14:textId="049BD456" w:rsidR="0072143D" w:rsidRPr="0072143D" w:rsidRDefault="008B5320" w:rsidP="0072143D">
      <w:pPr>
        <w:spacing w:afterLines="50" w:after="120" w:line="440" w:lineRule="exact"/>
        <w:ind w:firstLineChars="200" w:firstLine="480"/>
        <w:rPr>
          <w:rFonts w:ascii="宋体" w:eastAsia="宋体" w:hAnsi="宋体"/>
          <w:sz w:val="24"/>
          <w:szCs w:val="24"/>
        </w:rPr>
      </w:pPr>
      <w:r w:rsidRPr="008B5320">
        <w:rPr>
          <w:rFonts w:ascii="宋体" w:eastAsia="宋体" w:hAnsi="宋体"/>
          <w:sz w:val="24"/>
          <w:szCs w:val="24"/>
        </w:rPr>
        <w:t>异常检测，作为数据科学中的一个核心领域，其目标是识别那些在数据集中与绝大多数样本存在显著差异的稀有项目、事件或观测值 。在数据分析的广阔领域中，这些偏离既定正常行为模式的实例通常蕴含着极为关键的信息。它们的“趣味性”或在现实世界中的重要性，是异常检测的核心特征，也正是这一点，使其与旨在消除无用或干扰性数据的噪声移除有着本质上的区别 。随着数据以前所未有的规模和速度持续产生，异常检测已经从一个相对小众的统计学分支，演变为现代数据科学不可或缺的基石。   </w:t>
      </w:r>
    </w:p>
    <w:p w14:paraId="02EFF745" w14:textId="718F35BC" w:rsidR="0072143D" w:rsidRPr="008B5320" w:rsidRDefault="0072143D" w:rsidP="0072143D">
      <w:pPr>
        <w:ind w:firstLineChars="200" w:firstLine="420"/>
        <w:jc w:val="center"/>
        <w:rPr>
          <w:rFonts w:ascii="宋体" w:eastAsia="宋体" w:hAnsi="宋体"/>
          <w:sz w:val="24"/>
          <w:szCs w:val="24"/>
        </w:rPr>
      </w:pPr>
      <w:r>
        <w:rPr>
          <w:noProof/>
        </w:rPr>
        <w:drawing>
          <wp:inline distT="0" distB="0" distL="0" distR="0" wp14:anchorId="25056C6A" wp14:editId="267F059F">
            <wp:extent cx="4233122" cy="2120313"/>
            <wp:effectExtent l="0" t="0" r="0" b="0"/>
            <wp:docPr id="76556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66618" name=""/>
                    <pic:cNvPicPr/>
                  </pic:nvPicPr>
                  <pic:blipFill rotWithShape="1">
                    <a:blip r:embed="rId7"/>
                    <a:srcRect l="8375" t="7582" r="5022"/>
                    <a:stretch>
                      <a:fillRect/>
                    </a:stretch>
                  </pic:blipFill>
                  <pic:spPr bwMode="auto">
                    <a:xfrm>
                      <a:off x="0" y="0"/>
                      <a:ext cx="4237544" cy="2122528"/>
                    </a:xfrm>
                    <a:prstGeom prst="rect">
                      <a:avLst/>
                    </a:prstGeom>
                    <a:ln>
                      <a:noFill/>
                    </a:ln>
                    <a:extLst>
                      <a:ext uri="{53640926-AAD7-44D8-BBD7-CCE9431645EC}">
                        <a14:shadowObscured xmlns:a14="http://schemas.microsoft.com/office/drawing/2010/main"/>
                      </a:ext>
                    </a:extLst>
                  </pic:spPr>
                </pic:pic>
              </a:graphicData>
            </a:graphic>
          </wp:inline>
        </w:drawing>
      </w:r>
    </w:p>
    <w:p w14:paraId="173F3BB8"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异常的定义</w:t>
      </w:r>
    </w:p>
    <w:p w14:paraId="6FE2BAA3"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在形式上，一个异常被定义为与数据集中大部分数据显著偏离的罕见项目、事件或观测结果 。这一概念的核心在于“显著偏离”这一限定，它深刻地揭示了异常并非源于数据的随机波动，而是由可能不同于正常数据生成机制的独特过程所产生的。这种偏差的来源多种多样，例如金融交易数据中的欺诈行为、网络安全系统中的恶意入侵活动、工业生产设备中的故障前兆信号，或是数据采集与传输过程中的系统性错误 。因此，精准且高效地识别这些异常，对于维护关键系统的安全性、优化复杂的业务流程以及支持高风险环境下的关键决策制定，都具有至关重要的战略意义。   </w:t>
      </w:r>
    </w:p>
    <w:p w14:paraId="681EF347"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异常的分类</w:t>
      </w:r>
    </w:p>
    <w:p w14:paraId="0667D293"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为了能够更精确地描述问题并制定有效的解决策略，异常通常被系统地划分为三种主要类型。这种分类不仅是学术理论上的区分，更直接地指导了后续检测方法的选择、设计</w:t>
      </w:r>
      <w:r w:rsidRPr="008B5320">
        <w:rPr>
          <w:rFonts w:ascii="宋体" w:eastAsia="宋体" w:hAnsi="宋体"/>
          <w:sz w:val="24"/>
          <w:szCs w:val="24"/>
        </w:rPr>
        <w:lastRenderedPageBreak/>
        <w:t>和实际应用。</w:t>
      </w:r>
    </w:p>
    <w:p w14:paraId="5805F478" w14:textId="1FAC68A9" w:rsidR="008B5320" w:rsidRPr="008B5320" w:rsidRDefault="008B5320" w:rsidP="008B5320">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点异常</w:t>
      </w:r>
      <w:r>
        <w:rPr>
          <w:rFonts w:ascii="宋体" w:eastAsia="宋体" w:hAnsi="宋体" w:hint="eastAsia"/>
          <w:sz w:val="24"/>
          <w:szCs w:val="24"/>
        </w:rPr>
        <w:t>。</w:t>
      </w:r>
      <w:r w:rsidRPr="008B5320">
        <w:rPr>
          <w:rFonts w:ascii="宋体" w:eastAsia="宋体" w:hAnsi="宋体"/>
          <w:sz w:val="24"/>
          <w:szCs w:val="24"/>
        </w:rPr>
        <w:t>点异常是指单个独立的数据实例，当其与数据集中其余所有部分进行比较时，表现出明显的异常特征 。这是最简单、最直观，也是最常见的异常类型。例如，在个人信用卡交易记录中，一笔金额远超该用户历史平均消费水平的交易，就极有可能被识别为一个点异常，它强烈地暗示着潜在的欺诈行为，需要立即进行核实 。   </w:t>
      </w:r>
    </w:p>
    <w:p w14:paraId="778079BB" w14:textId="5EB433E7" w:rsidR="008B5320" w:rsidRPr="008B5320" w:rsidRDefault="008B5320" w:rsidP="008B5320">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上下文异常</w:t>
      </w:r>
      <w:r>
        <w:rPr>
          <w:rFonts w:ascii="宋体" w:eastAsia="宋体" w:hAnsi="宋体" w:hint="eastAsia"/>
          <w:sz w:val="24"/>
          <w:szCs w:val="24"/>
        </w:rPr>
        <w:t>。</w:t>
      </w:r>
      <w:r w:rsidRPr="008B5320">
        <w:rPr>
          <w:rFonts w:ascii="宋体" w:eastAsia="宋体" w:hAnsi="宋体"/>
          <w:sz w:val="24"/>
          <w:szCs w:val="24"/>
        </w:rPr>
        <w:t>上下文异常，也被称为条件异常，其特殊之处在于一个数据实例本身可能并不异常，但当它出现在特定的情境下时，就会表现出异常行为 。这类异常的识别高度依赖于对上下文信息的综合分析。一个典型的例子是，在节假日购物季期间的高额消费通常被视为正常行为，但同样数额的消费如果发生在普通工作日的凌晨三点，则很可能构成一个上下文异常，值得警惕 。时间戳、地理空间位置、用户的历史行为序列等上下文属性，是判断此类异常不可或缺的关键信息。   </w:t>
      </w:r>
    </w:p>
    <w:p w14:paraId="16CAE87B" w14:textId="7BA20E36" w:rsidR="008B5320" w:rsidRPr="008B5320" w:rsidRDefault="008B5320" w:rsidP="008B5320">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集体异常</w:t>
      </w:r>
      <w:r>
        <w:rPr>
          <w:rFonts w:ascii="宋体" w:eastAsia="宋体" w:hAnsi="宋体" w:hint="eastAsia"/>
          <w:sz w:val="24"/>
          <w:szCs w:val="24"/>
        </w:rPr>
        <w:t>。</w:t>
      </w:r>
      <w:r w:rsidRPr="008B5320">
        <w:rPr>
          <w:rFonts w:ascii="宋体" w:eastAsia="宋体" w:hAnsi="宋体"/>
          <w:sz w:val="24"/>
          <w:szCs w:val="24"/>
        </w:rPr>
        <w:t>集体异常指的是一组相互关联的数据实例作为一个整体共同表现出异常模式，尽管构成这个集合的单个实例本身可能并不异常 。这类异常的检测要求算法不仅要分析单个数据点，还必须深入分析数据点之间的内在关系和序列模式。在网络入侵检测系统中，一系列单独看来完全无害的系统调用，当它们以特定的顺序和组合出现时，可能会构成一次精心策划的复杂攻击，这便是一个典型的集体异常案例 。   </w:t>
      </w:r>
    </w:p>
    <w:p w14:paraId="01457FBE"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大数据驱动的范式转变</w:t>
      </w:r>
    </w:p>
    <w:p w14:paraId="62425352"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异常检测本身并非一个全新的概念，其早期的实现方法主要依赖于经验丰富的人工审查和基于简单统计规则的阈值判断 。然而，大数据的出现，以其海量、高速、多样化的特性，彻底并深刻地改变了这一领域。数据的爆炸性增长使得传统的、依赖人工追踪和审查的方法变得完全不切实际，开发自动化和智能化的检测系统成为了一种必然选择 。这次范式转变的核心在于，检测的目标已经从过去识别静态、孤立的离群点，转向在高速、连续、动态变化的数据流中，实时发现那些模式复杂且不断演变的异常行为 。这就要求现代异常检测系统不仅要具备处理海量数据的能力，还必须拥有实时响应、持续学习和自我适应的先进能力。因此，对不同异常类型的深刻理解，成为了选择和设计高效算法的逻辑起点。点异常或许可以通过简单的统计量或距离度量来有效识别，但上下文异常则要求模型必须能够整合并深刻理解时间、空间等附加维度信息；而集体异常则更进一步，要求模型具备分析序列、图结构等复杂关系的能力。这种从问题定义到方法选择的严密逻辑链条，构成了大数据时代异常检测方法论的坚实基础。   </w:t>
      </w:r>
    </w:p>
    <w:p w14:paraId="25834C94"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lastRenderedPageBreak/>
        <w:t>大数据中异常检测的独特挑战</w:t>
      </w:r>
    </w:p>
    <w:p w14:paraId="391D9C43"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大数据环境的固有特性，通常被精炼地概括为数据量 (Volume)、速度 (Velocity)、多样性 (Variety) 和维度 (Dimensionality)，为异常检测带来了前所未有的、系统性的挑战。这些挑战并非孤立存在，而是相互交织、彼此关联，共同构成了一个复杂的约束系统。这个系统从根本上瓦解了传统分析方法所依赖的核心假设，从而强有力地推动了新一代检测算法的演进与创新。</w:t>
      </w:r>
    </w:p>
    <w:p w14:paraId="40008FA8"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维度灾难</w:t>
      </w:r>
    </w:p>
    <w:p w14:paraId="7093E749"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高维性是大数据最为显著和棘手的特征之一。当一个数据集包含成百上千甚至数百万个特征时，许多传统的、在低维空间中表现优异的异常检测方法往往会彻底失效 。这种现象被学术界称为“维度灾难”。在高维空间中，数据点之间的距离概念变得极其模糊，几乎所有的数据点都趋向于变得稀疏，并且彼此之间的距离也趋于相等 。这一现象直接削弱了那些高度依赖于距离或密度度量的算法的有效性，例如基于聚类或最近邻的方法，因为在这样的高维空间里，“近邻”和“密集区域”这些基本概念已经失去了其原有的区分意义 。   </w:t>
      </w:r>
    </w:p>
    <w:p w14:paraId="751CD1C1"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数据量与速度</w:t>
      </w:r>
    </w:p>
    <w:p w14:paraId="6DA7CB3A"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大数据的“量”与“速”这两个维度，对计算架构的性能和算法设计的效率提出了极为严峻的考验。</w:t>
      </w:r>
    </w:p>
    <w:p w14:paraId="592C627C"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数据量</w:t>
      </w:r>
      <w:r w:rsidRPr="008B5320">
        <w:rPr>
          <w:rFonts w:ascii="宋体" w:eastAsia="宋体" w:hAnsi="宋体"/>
          <w:sz w:val="24"/>
          <w:szCs w:val="24"/>
        </w:rPr>
        <w:t> 海量的数据样本无疑带来了巨大的计算和存储瓶颈 。虽然从统计学角度看，大规模的样本有助于更清晰地揭示和建模数据中罕见的子群体（即数据异构性），但同时也要求算法必须具备高度的可扩展性，才能够在合理的时间窗口内完成数据处理和分析任务 。   </w:t>
      </w:r>
    </w:p>
    <w:p w14:paraId="16CB16FA"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数据速度</w:t>
      </w:r>
      <w:r w:rsidRPr="008B5320">
        <w:rPr>
          <w:rFonts w:ascii="宋体" w:eastAsia="宋体" w:hAnsi="宋体"/>
          <w:sz w:val="24"/>
          <w:szCs w:val="24"/>
        </w:rPr>
        <w:t> 在许多关键的应用场景中，例如网络流量监控或金融交易，数据以高速、连续的数据流形式源源不断地到达，这使得对数据进行多次扫描或将其完全存储在内存中变得不现实 。因此，算法必须被设计成能够在资源受限的环境下进行在线处理，即在数据到达时仅进行单次扫描便能实时做出判断，这对算法的效率和内存使用提出了极高的要求 。   </w:t>
      </w:r>
    </w:p>
    <w:p w14:paraId="083D25D4"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数据质量与异构性</w:t>
      </w:r>
    </w:p>
    <w:p w14:paraId="2CE0E18D"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现实世界中的大数据往往是不完美的，其内在的质量问题和结构复杂性给异常检测带</w:t>
      </w:r>
      <w:r w:rsidRPr="008B5320">
        <w:rPr>
          <w:rFonts w:ascii="宋体" w:eastAsia="宋体" w:hAnsi="宋体"/>
          <w:sz w:val="24"/>
          <w:szCs w:val="24"/>
        </w:rPr>
        <w:lastRenderedPageBreak/>
        <w:t>来了额外的、不容忽视的困难。</w:t>
      </w:r>
    </w:p>
    <w:p w14:paraId="4A39A627"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噪声与模糊性</w:t>
      </w:r>
      <w:r w:rsidRPr="008B5320">
        <w:rPr>
          <w:rFonts w:ascii="宋体" w:eastAsia="宋体" w:hAnsi="宋体"/>
          <w:sz w:val="24"/>
          <w:szCs w:val="24"/>
        </w:rPr>
        <w:t> 大数据集中通常混杂着大量的噪声，例如传感器测量误差或数据传输过程中的缺失值，这些噪声的存在可能会掩盖真实的异常信号，或者被错误地识别为异常，从而导致误报 。此外，异常的定义本身在很多时候是模糊且高度依赖于具体情境的，这使得在没有清晰界限的情况下，要准确地区分正常与异常行为变得极其困难 。   </w:t>
      </w:r>
    </w:p>
    <w:p w14:paraId="20A80E65"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异构性</w:t>
      </w:r>
      <w:r w:rsidRPr="008B5320">
        <w:rPr>
          <w:rFonts w:ascii="宋体" w:eastAsia="宋体" w:hAnsi="宋体"/>
          <w:sz w:val="24"/>
          <w:szCs w:val="24"/>
        </w:rPr>
        <w:t> 大数据通常是由多个不同来源的数据聚合而成，这些数据源可能对应着具有截然不同统计特征的子群体 。在这种复杂的情况下，试图建立一个统一的、全局性的“正常”行为模型很可能会失败，因为一个子群体中的正常行为，在另一个子群体中可能就是需要被标记的异常。   </w:t>
      </w:r>
    </w:p>
    <w:p w14:paraId="6A3D0591"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类别不平衡问题</w:t>
      </w:r>
    </w:p>
    <w:p w14:paraId="420B7374"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异常的定义内在地决定了它在数据集中是一种稀有事件 。这一特性直接导致了极端的类别不平衡问题，即正常样本的数量远远超过异常样本。这种严重的不平衡性对监督学习模型构成了巨大的挑战，因为模型在训练过程中会自然地倾向于预测数量上占绝对优势的正常类别，从而系统性地忽略掉那些数量稀少但至关重要的异常类别 。在这种情况下，传统的评估指标，如准确率，会产生严重的误导。例如，一个将所有样本都预测为正常的模型也能获得极高的准确率，但它对于异常检测这个核心任务来说毫无任何实际价值 。   </w:t>
      </w:r>
    </w:p>
    <w:p w14:paraId="4C58F292"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这些挑战共同作用，构成了推动异常检测技术不断向前发展的核心动力。维度灾难使得基于距离的传统方法失效；数据的高速和海量特性淘汰了经典的批处理模式；数据异构性挑战了全局模型的普适性和有效性；而严重的类别不平衡则极大地限制了标准监督学习方法的直接应用。正是在这种充满挑战的背景下，诸如孤立森林（它巧妙地避开了距离计算的难题）和深度学习（它能自动从原始数据中学习复杂的、层次化的表示）等一系列新方法应运而生，它们的设计初衷，正是为了系统性地应对传统方法在这些全新的数据条件下所面临的系统性失效。</w:t>
      </w:r>
    </w:p>
    <w:p w14:paraId="0B5EA52E" w14:textId="77777777" w:rsidR="008B5320" w:rsidRPr="008B5320" w:rsidRDefault="008B5320" w:rsidP="008B5320">
      <w:pPr>
        <w:spacing w:beforeLines="100" w:before="240"/>
        <w:rPr>
          <w:rFonts w:ascii="宋体" w:eastAsia="宋体" w:hAnsi="宋体"/>
          <w:b/>
          <w:bCs/>
          <w:sz w:val="28"/>
          <w:szCs w:val="28"/>
        </w:rPr>
      </w:pPr>
      <w:r w:rsidRPr="008B5320">
        <w:rPr>
          <w:rFonts w:ascii="宋体" w:eastAsia="宋体" w:hAnsi="宋体"/>
          <w:b/>
          <w:bCs/>
          <w:sz w:val="28"/>
          <w:szCs w:val="28"/>
        </w:rPr>
        <w:t>异常检测算法的方法论综述</w:t>
      </w:r>
    </w:p>
    <w:p w14:paraId="48F39CE5"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为了有效应对大数据带来的多重挑战，研究人员和实践者们开发了多种多样的异常检测算法。这些算法可以大致划分为统计方法、传统机器学习方法、集成方法和深度学习方法四大类别。它们的发展轨迹清晰地反映了该领域为了适应日益复杂和动态的数据环境而进行的持续演化，即从最初依赖明确统计假设的参数化模型，逐步发展到能够隐式学习数</w:t>
      </w:r>
      <w:r w:rsidRPr="008B5320">
        <w:rPr>
          <w:rFonts w:ascii="宋体" w:eastAsia="宋体" w:hAnsi="宋体"/>
          <w:sz w:val="24"/>
          <w:szCs w:val="24"/>
        </w:rPr>
        <w:lastRenderedPageBreak/>
        <w:t>据分布的非参数化模型，最终演进到完全绕开分布建模这一传统思路的全新范式。</w:t>
      </w:r>
    </w:p>
    <w:p w14:paraId="44D6C619"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统计与概率基础</w:t>
      </w:r>
    </w:p>
    <w:p w14:paraId="7E7A7CCD"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统计学方法是最早被系统性地应用于异常检测领域的技术，它们的核心思想是通过对数据的概率分布进行显式建模来识别那些低概率的异常事件。</w:t>
      </w:r>
    </w:p>
    <w:p w14:paraId="3C12CEDE"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经典方法</w:t>
      </w:r>
      <w:r w:rsidRPr="008B5320">
        <w:rPr>
          <w:rFonts w:ascii="宋体" w:eastAsia="宋体" w:hAnsi="宋体"/>
          <w:sz w:val="24"/>
          <w:szCs w:val="24"/>
        </w:rPr>
        <w:t> 诸如Z分数检验和格拉布斯检验等经典的统计测试，通过计算数据点偏离样本均值的程度（通常以标准差为单位）来识别异常 。这些方法的优点是原理简单、计算高效且结果直观，但其有效性高度依赖于一个关键假设，即数据必须服从特定的概率分布（如正态分布）。然而，在复杂的大数据场景中，这一假设往往难以得到满足 。   </w:t>
      </w:r>
    </w:p>
    <w:p w14:paraId="3896E102"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主成分分析 (PCA)</w:t>
      </w:r>
      <w:r w:rsidRPr="008B5320">
        <w:rPr>
          <w:rFonts w:ascii="宋体" w:eastAsia="宋体" w:hAnsi="宋体"/>
          <w:sz w:val="24"/>
          <w:szCs w:val="24"/>
        </w:rPr>
        <w:t> PCA是一种经典的线性降维技术，但也被广泛且有效地用于异常检测 。其核心思想是将高维数据投影到一个由少数几个主成分构成的低维子空间，然后将这些低维表示重构回原始的高维空间 。由于主成分捕捉了正常数据样本中的主要变化模式和方差方向，因此正常样本经过投影和重构后的误差会很低。相反，异常样本由于其模式不符合这些主要变化方向，其重构误差会显著偏高，从而可以被轻易地识别出来 。PCA对于处理高维数据非常有效，但其主要的局限性在于它只能捕捉数据中的线性关系，对于非线性结构则无能为力 。   </w:t>
      </w:r>
    </w:p>
    <w:p w14:paraId="0F42D2B6"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高斯混合模型 (GMM)</w:t>
      </w:r>
      <w:r w:rsidRPr="008B5320">
        <w:rPr>
          <w:rFonts w:ascii="宋体" w:eastAsia="宋体" w:hAnsi="宋体"/>
          <w:sz w:val="24"/>
          <w:szCs w:val="24"/>
        </w:rPr>
        <w:t> GMM是一种功能强大的概率生成模型，它假设整个数据集是由多个不同的高斯分布以一定的权重混合生成的 。通过使用期望最大化 (EM) 算法，GMM可以从数据中学习出这些高斯分量的具体参数（均值、协方差和权重）。一旦模型训练完成，异常点就可以被识别为那些由任何一个高斯分量生成的概率都极低的数据点 。GMM的优势在于能够灵活地为不同形状和大小的数据簇进行建模，但它也存在计算复杂度较高和对初始参数选择敏感等问题 。   </w:t>
      </w:r>
    </w:p>
    <w:p w14:paraId="119A4073"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机器学习范式</w:t>
      </w:r>
    </w:p>
    <w:p w14:paraId="65A73552"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随着机器学习技术的蓬勃发展，一系列更为灵活和强大的异常检测算法被提了出来，它们通常不需要对数据分布做出严格的假设。</w:t>
      </w:r>
    </w:p>
    <w:p w14:paraId="5AB577CF"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基于聚类的方法</w:t>
      </w:r>
      <w:r w:rsidRPr="008B5320">
        <w:rPr>
          <w:rFonts w:ascii="宋体" w:eastAsia="宋体" w:hAnsi="宋体"/>
          <w:sz w:val="24"/>
          <w:szCs w:val="24"/>
        </w:rPr>
        <w:t> 这类方法共享一个基本假设：正常的数据点倾向于聚集在一起，形成规模较大且密度较高的簇，而异常点则通常远离这些主要的簇，或者自身形成规模很小且密度稀疏的簇 。   </w:t>
      </w:r>
    </w:p>
    <w:p w14:paraId="7EC2250D"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K-Means</w:t>
      </w:r>
      <w:r w:rsidRPr="008B5320">
        <w:rPr>
          <w:rFonts w:ascii="宋体" w:eastAsia="宋体" w:hAnsi="宋体"/>
          <w:sz w:val="24"/>
          <w:szCs w:val="24"/>
        </w:rPr>
        <w:t> K-Means算法将数据划分为预先设定的K个簇，然后通过计算每个数据点到其所属簇中心的距离来识别异常。那些距离其簇中心过远的点被认为是潜在的异常 。该</w:t>
      </w:r>
      <w:r w:rsidRPr="008B5320">
        <w:rPr>
          <w:rFonts w:ascii="宋体" w:eastAsia="宋体" w:hAnsi="宋体"/>
          <w:sz w:val="24"/>
          <w:szCs w:val="24"/>
        </w:rPr>
        <w:lastRenderedPageBreak/>
        <w:t>方法原理简单且可扩展性好，但其主要缺点是假设数据簇是球形的，因此对非球形簇的识别效果不佳 。   </w:t>
      </w:r>
    </w:p>
    <w:p w14:paraId="7914504A"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DBSCAN</w:t>
      </w:r>
      <w:r w:rsidRPr="008B5320">
        <w:rPr>
          <w:rFonts w:ascii="宋体" w:eastAsia="宋体" w:hAnsi="宋体"/>
          <w:sz w:val="24"/>
          <w:szCs w:val="24"/>
        </w:rPr>
        <w:t> DBSCAN是一种基于密度的聚类算法，它能够发现任意形状的簇，并能自然地将那些不属于任何簇的、位于低密度区域中的点识别为噪声，这些被标记为噪声的点即为我们所要寻找的异常 。DBSCAN的缺点是其性能对参数（邻域半径Eps和最小点数MinPts）的选择非常敏感，并且在处理密度变化较大的数据集时会遇到困难 。   </w:t>
      </w:r>
    </w:p>
    <w:p w14:paraId="1B592EBB"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基于密度的方法 (局部异常因子 - LOF)</w:t>
      </w:r>
      <w:r w:rsidRPr="008B5320">
        <w:rPr>
          <w:rFonts w:ascii="宋体" w:eastAsia="宋体" w:hAnsi="宋体"/>
          <w:sz w:val="24"/>
          <w:szCs w:val="24"/>
        </w:rPr>
        <w:t> LOF是一种具有开创性意义的、基于密度的异常检测算法，它的核心创新在于其独特的“局部”视角 。与那些试图建立全局密度模型的全局方法不同，LOF不假设整个数据集具有统一的密度分布。它通过比较一个数据点与其邻域内其他点的局部可达密度来计算其异常分数 。如果一个点的局部密度远低于其邻居的局部密度，那么该点就会被赋予一个较高的异常分数。这种精细的局部比较能力使得LOF能够成功地在密度不均匀的数据集中检测出异常，而这正是许多全局方法会失效的典型场景 。   </w:t>
      </w:r>
    </w:p>
    <w:p w14:paraId="47627B8C"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基于分类的方法</w:t>
      </w:r>
      <w:r w:rsidRPr="008B5320">
        <w:rPr>
          <w:rFonts w:ascii="宋体" w:eastAsia="宋体" w:hAnsi="宋体"/>
          <w:sz w:val="24"/>
          <w:szCs w:val="24"/>
        </w:rPr>
        <w:t> 这类方法将异常检测问题巧妙地转化为一个分类问题。</w:t>
      </w:r>
    </w:p>
    <w:p w14:paraId="282A8BDE"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监督方法</w:t>
      </w:r>
      <w:r w:rsidRPr="008B5320">
        <w:rPr>
          <w:rFonts w:ascii="宋体" w:eastAsia="宋体" w:hAnsi="宋体"/>
          <w:sz w:val="24"/>
          <w:szCs w:val="24"/>
        </w:rPr>
        <w:t> 如果我们拥有已标记的正常和异常样本，就可以直接训练一个标准的二元分类器（如SVM或决策树）来区分它们。这种方法通常效果最好，但在现实世界的应用中，获取充足且具有代表性的异常标签往往是极其困难和昂贵的 。   </w:t>
      </w:r>
    </w:p>
    <w:p w14:paraId="03448D9B"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单类支持向量机 (One-Class SVM)</w:t>
      </w:r>
      <w:r w:rsidRPr="008B5320">
        <w:rPr>
          <w:rFonts w:ascii="宋体" w:eastAsia="宋体" w:hAnsi="宋体"/>
          <w:sz w:val="24"/>
          <w:szCs w:val="24"/>
        </w:rPr>
        <w:t> 这是一种经典的半监督方法，它仅使用正常样本进行训练，其目标是学习一个能够紧密包围这些正常样本的超球面边界。在预测阶段，任何落在该边界之外的新数据点都会被分类为异常 。   </w:t>
      </w:r>
    </w:p>
    <w:p w14:paraId="77F9317F"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集成与基于隔离的创新</w:t>
      </w:r>
    </w:p>
    <w:p w14:paraId="2DECCC34"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为了克服单一模型的内在局限性，并进一步提升检测性能和效率，集成方法和一些创新的非传统方法被相继开发出来。</w:t>
      </w:r>
    </w:p>
    <w:p w14:paraId="7062A30E"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孤立森林 (Isolation Forest)</w:t>
      </w:r>
      <w:r w:rsidRPr="008B5320">
        <w:rPr>
          <w:rFonts w:ascii="宋体" w:eastAsia="宋体" w:hAnsi="宋体"/>
          <w:sz w:val="24"/>
          <w:szCs w:val="24"/>
        </w:rPr>
        <w:t> 孤立森林是一种非常高效的集成算法，其设计理念极为独特和新颖 。它基于一个简单而深刻的核心假设：异常是“稀少且不同”的，因此它们比正常点更容易被孤立出来 。该算法通过构建多棵随机树（iTrees）来对数据空间进行递归划分。在每棵树的构建过程中，异常点由于其独特性，通常只需要经过很少几次随机划分就能被完全分离出来，因此它们在树结构中的平均路径长度会很短 。孤立森林的巨大优势在于其线性的时间复杂度和极低的内存需求，并且由于它不依赖于距离或密度的</w:t>
      </w:r>
      <w:r w:rsidRPr="008B5320">
        <w:rPr>
          <w:rFonts w:ascii="宋体" w:eastAsia="宋体" w:hAnsi="宋体"/>
          <w:sz w:val="24"/>
          <w:szCs w:val="24"/>
        </w:rPr>
        <w:lastRenderedPageBreak/>
        <w:t>计算，因此在处理高维数据时表现出色，完美地契合了大数据环境的严苛需求 。   </w:t>
      </w:r>
    </w:p>
    <w:p w14:paraId="13164AD2"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深度学习架构</w:t>
      </w:r>
    </w:p>
    <w:p w14:paraId="59412225"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深度学习的兴起为异常检测领域带来了新的、功能强大的工具，尤其是在处理那些具有复杂结构和高度非线性关系的数据时，其优势尤为明显。</w:t>
      </w:r>
    </w:p>
    <w:p w14:paraId="32C7C6B3"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自编码器 (Autoencoders)</w:t>
      </w:r>
      <w:r w:rsidRPr="008B5320">
        <w:rPr>
          <w:rFonts w:ascii="宋体" w:eastAsia="宋体" w:hAnsi="宋体"/>
          <w:sz w:val="24"/>
          <w:szCs w:val="24"/>
        </w:rPr>
        <w:t> 自编码器是一种无监督的神经网络，它被训练来尽可能精确地重构其输入数据 。其典型的结构包含一个编码器（Encoder）和一个解码器（Decoder），中间是一个维度较低的瓶颈层（Bottleneck） 。当自编码器仅在正常数据上进行训练时，它会学习到正常数据的内在模式和一种高效的压缩表示。当一个异常数据点被输入到这个训练好的模型中时，由于它不符合模型所学到的正常模式，解码器将无法准确地将其重构出来，从而产生一个较高的重构误差 。这个重构误差的大小就成为了判断一个数据点是否为异常的直接依据。然而，值得注意的是，近期的研究指出这一基本假设并非总是成立，在某些特定情况下，自编码器可能会学会完美地重构异常，这给其在关键安全应用中的可靠性带来了新的挑战 。   </w:t>
      </w:r>
    </w:p>
    <w:p w14:paraId="351E9207" w14:textId="77777777" w:rsid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循环神经网络 (LSTMs)</w:t>
      </w:r>
      <w:r w:rsidRPr="008B5320">
        <w:rPr>
          <w:rFonts w:ascii="宋体" w:eastAsia="宋体" w:hAnsi="宋体"/>
          <w:sz w:val="24"/>
          <w:szCs w:val="24"/>
        </w:rPr>
        <w:t> 对于序列数据，例如时间序列数据或系统日志数据，循环神经网络（RNNs），特别是长短期记忆网络（LSTM），表现出了卓越的性能 。LSTMs能够有效地捕捉数据中的长期时间依赖关系。通过在正常的序列数据上进行训练，它们可以学习到正常的序列模式，并基于历史信息来预测序列中的下一个数据点。当实际观测值与模型的预测值之间出现巨大的偏差时，就可能表明存在一个异常事件 。</w:t>
      </w:r>
    </w:p>
    <w:tbl>
      <w:tblPr>
        <w:tblW w:w="0" w:type="auto"/>
        <w:tblCellSpacing w:w="15" w:type="dxa"/>
        <w:tblCellMar>
          <w:left w:w="0" w:type="dxa"/>
          <w:right w:w="0" w:type="dxa"/>
        </w:tblCellMar>
        <w:tblLook w:val="04A0" w:firstRow="1" w:lastRow="0" w:firstColumn="1" w:lastColumn="0" w:noHBand="0" w:noVBand="1"/>
      </w:tblPr>
      <w:tblGrid>
        <w:gridCol w:w="862"/>
        <w:gridCol w:w="1744"/>
        <w:gridCol w:w="1589"/>
        <w:gridCol w:w="2075"/>
        <w:gridCol w:w="1828"/>
        <w:gridCol w:w="1905"/>
      </w:tblGrid>
      <w:tr w:rsidR="00A96F99" w:rsidRPr="00A96F99" w14:paraId="401111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F21D8"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算法家族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FF4A"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具体算法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B669F"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核心原理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C96B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主要优势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F943E"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内在弱点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7089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大数据适用性</w:t>
            </w:r>
          </w:p>
        </w:tc>
      </w:tr>
      <w:tr w:rsidR="00A96F99" w:rsidRPr="00A96F99" w14:paraId="2E167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963BF"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统计方法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48E7F"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主成分分析</w:t>
            </w:r>
            <w:r w:rsidRPr="00A96F99">
              <w:rPr>
                <w:rFonts w:ascii="Arial" w:eastAsia="宋体" w:hAnsi="Arial" w:cs="Arial"/>
                <w:color w:val="1B1C1D"/>
                <w:kern w:val="0"/>
                <w:sz w:val="24"/>
                <w:szCs w:val="24"/>
                <w14:ligatures w14:val="none"/>
              </w:rPr>
              <w:t xml:space="preserve"> (PCA)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B7E7E"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异常点具有较高的重构误差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0983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能有效处理高维数据、原理简单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4EB9"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仅能捕捉数据中的线性关系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204FE"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高维性：优；可扩展性：中；流数据：差</w:t>
            </w:r>
          </w:p>
        </w:tc>
      </w:tr>
      <w:tr w:rsidR="00A96F99" w:rsidRPr="00A96F99" w14:paraId="293D07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EAC84" w14:textId="77777777" w:rsidR="00A96F99" w:rsidRPr="00A96F99" w:rsidRDefault="00A96F99" w:rsidP="00A96F99">
            <w:pPr>
              <w:widowControl/>
              <w:jc w:val="left"/>
              <w:rPr>
                <w:rFonts w:ascii="Arial" w:eastAsia="宋体" w:hAnsi="Arial" w:cs="Arial"/>
                <w:color w:val="1B1C1D"/>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D0478"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高斯混合模型</w:t>
            </w:r>
            <w:r w:rsidRPr="00A96F99">
              <w:rPr>
                <w:rFonts w:ascii="Arial" w:eastAsia="宋体" w:hAnsi="Arial" w:cs="Arial"/>
                <w:color w:val="1B1C1D"/>
                <w:kern w:val="0"/>
                <w:sz w:val="24"/>
                <w:szCs w:val="24"/>
                <w14:ligatures w14:val="none"/>
              </w:rPr>
              <w:t xml:space="preserve"> (GMM)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3222"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异常点具有较低的生成概率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0137"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能够为形状灵活的簇建模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48407"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计算复杂度高、对初始化敏感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9F3DC"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高维性：中；可扩展性：中；流数据：差</w:t>
            </w:r>
          </w:p>
        </w:tc>
      </w:tr>
      <w:tr w:rsidR="00A96F99" w:rsidRPr="00A96F99" w14:paraId="3E5FD3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E00A6"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lastRenderedPageBreak/>
              <w:t>机器学习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B947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K-Means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B1029"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异常点距离其簇中心非常远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7F5EC"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简单直观、可扩展性好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2307B"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假设数据簇为球形结构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ABF0B"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高维性：差；可扩展性：优；流数据：中</w:t>
            </w:r>
          </w:p>
        </w:tc>
      </w:tr>
      <w:tr w:rsidR="00A96F99" w:rsidRPr="00A96F99" w14:paraId="3392D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25892" w14:textId="77777777" w:rsidR="00A96F99" w:rsidRPr="00A96F99" w:rsidRDefault="00A96F99" w:rsidP="00A96F99">
            <w:pPr>
              <w:widowControl/>
              <w:jc w:val="left"/>
              <w:rPr>
                <w:rFonts w:ascii="Arial" w:eastAsia="宋体" w:hAnsi="Arial" w:cs="Arial"/>
                <w:color w:val="1B1C1D"/>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CC7DC"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DBSCAN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C0F46"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异常点是不属于任何密集簇的噪声点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2CDCB"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能够发现任意形状的簇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A4AA"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对参数选择敏感、难以处理变化密度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2BEEA"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高维性：差；可扩展性：中；流数据：差</w:t>
            </w:r>
          </w:p>
        </w:tc>
      </w:tr>
      <w:tr w:rsidR="00A96F99" w:rsidRPr="00A96F99" w14:paraId="705D1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BE60" w14:textId="77777777" w:rsidR="00A96F99" w:rsidRPr="00A96F99" w:rsidRDefault="00A96F99" w:rsidP="00A96F99">
            <w:pPr>
              <w:widowControl/>
              <w:jc w:val="left"/>
              <w:rPr>
                <w:rFonts w:ascii="Arial" w:eastAsia="宋体" w:hAnsi="Arial" w:cs="Arial"/>
                <w:color w:val="1B1C1D"/>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2B7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局部异常因子</w:t>
            </w:r>
            <w:r w:rsidRPr="00A96F99">
              <w:rPr>
                <w:rFonts w:ascii="Arial" w:eastAsia="宋体" w:hAnsi="Arial" w:cs="Arial"/>
                <w:color w:val="1B1C1D"/>
                <w:kern w:val="0"/>
                <w:sz w:val="24"/>
                <w:szCs w:val="24"/>
                <w14:ligatures w14:val="none"/>
              </w:rPr>
              <w:t xml:space="preserve"> (LOF)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9203E"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异常点的局部密度远低于其邻居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CF7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能够处理密度不均匀的数据集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6252"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计算成本高昂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59AB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高维性：差；可扩展性：差；流数据：差</w:t>
            </w:r>
          </w:p>
        </w:tc>
      </w:tr>
      <w:tr w:rsidR="00A96F99" w:rsidRPr="00A96F99" w14:paraId="1FC23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88C3C"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集成方法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B954"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孤立森林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ABC0E"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异常点在随机树中的平均路径长度短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D5E8B"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线性时间复杂度、低内存需求、不依赖距离计算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0E54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对全局性、分布式的异常不敏感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85BAF"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高维性：优；可扩展性：优；流数据：优</w:t>
            </w:r>
          </w:p>
        </w:tc>
      </w:tr>
      <w:tr w:rsidR="00A96F99" w:rsidRPr="00A96F99" w14:paraId="4F1C0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55F2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b/>
                <w:bCs/>
                <w:color w:val="1B1C1D"/>
                <w:kern w:val="0"/>
                <w:sz w:val="24"/>
                <w:szCs w:val="24"/>
                <w:bdr w:val="none" w:sz="0" w:space="0" w:color="auto" w:frame="1"/>
                <w14:ligatures w14:val="none"/>
              </w:rPr>
              <w:t>深度学习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1442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自编码器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12B85"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异常点具有较高的重构误差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F5780"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能够捕捉复杂的非线性模式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763B"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可能完美重构异常、需要大量训练数据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0A022"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高维性：优；可扩展性：优；流数据：中</w:t>
            </w:r>
          </w:p>
        </w:tc>
      </w:tr>
      <w:tr w:rsidR="00A96F99" w:rsidRPr="00A96F99" w14:paraId="502FD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CA3D" w14:textId="77777777" w:rsidR="00A96F99" w:rsidRPr="00A96F99" w:rsidRDefault="00A96F99" w:rsidP="00A96F99">
            <w:pPr>
              <w:widowControl/>
              <w:jc w:val="left"/>
              <w:rPr>
                <w:rFonts w:ascii="Arial" w:eastAsia="宋体" w:hAnsi="Arial" w:cs="Arial"/>
                <w:color w:val="1B1C1D"/>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33597"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BADF"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实际观测值与模型预测值偏差大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CDA38"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擅长处理序列数据和时间依赖性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C950C"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计算密集、模型训练复杂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ECD1D" w14:textId="77777777" w:rsidR="00A96F99" w:rsidRPr="00A96F99" w:rsidRDefault="00A96F99" w:rsidP="00A96F99">
            <w:pPr>
              <w:widowControl/>
              <w:jc w:val="left"/>
              <w:rPr>
                <w:rFonts w:ascii="Arial" w:eastAsia="宋体" w:hAnsi="Arial" w:cs="Arial"/>
                <w:color w:val="1B1C1D"/>
                <w:kern w:val="0"/>
                <w:sz w:val="24"/>
                <w:szCs w:val="24"/>
                <w14:ligatures w14:val="none"/>
              </w:rPr>
            </w:pPr>
            <w:r w:rsidRPr="00A96F99">
              <w:rPr>
                <w:rFonts w:ascii="Arial" w:eastAsia="宋体" w:hAnsi="Arial" w:cs="Arial"/>
                <w:color w:val="1B1C1D"/>
                <w:kern w:val="0"/>
                <w:sz w:val="24"/>
                <w:szCs w:val="24"/>
                <w14:ligatures w14:val="none"/>
              </w:rPr>
              <w:t>高维性：优；可扩展性：中；流数据：优</w:t>
            </w:r>
          </w:p>
        </w:tc>
      </w:tr>
    </w:tbl>
    <w:p w14:paraId="190E2BD9"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面向工业应用的可扩展异常检测</w:t>
      </w:r>
    </w:p>
    <w:p w14:paraId="4FB4D655"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将理论上有效的算法成功应用于工业级的海量数据集，需要系统性地解决可扩展性和工程实现方面的诸多挑战。这已经不仅仅是选择一个好的模型的问题，更涉及到如何构建一个能够处理大规模、实时、甚至地理上分布式数据的完整、稳健的系统。这一演进过程</w:t>
      </w:r>
      <w:r w:rsidRPr="008B5320">
        <w:rPr>
          <w:rFonts w:ascii="宋体" w:eastAsia="宋体" w:hAnsi="宋体"/>
          <w:sz w:val="24"/>
          <w:szCs w:val="24"/>
        </w:rPr>
        <w:lastRenderedPageBreak/>
        <w:t>清晰地反映了该领域关注点的扩展，即从最初单纯追求计算性能，逐步转向同时解决数据隐私、治理和安全等一系列关键的非功能性需求。</w:t>
      </w:r>
    </w:p>
    <w:p w14:paraId="678F650D"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处理数据流</w:t>
      </w:r>
    </w:p>
    <w:p w14:paraId="03248C54"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许多重要的工业应用，例如网络安全监控和物联网（IoT）设备管理，产生的是永无止境、高速到达的数据流。在这种动态场景下，异常检测模型必须具备在线处理的能力。这意味着模型需要在不将所有历史数据存储在内存中的情况下，对实时到来的每一个数据点进行即时分析和判断 。为了实现这一点，常用的技术包括使用滑动窗口来限制分析的数据范围，只关注近期的数据；以及设计那些能够根据新数据进行增量式更新的模型，从而使其能够适应数据分布可能随时间发生的变化（即概念漂移） 。   </w:t>
      </w:r>
    </w:p>
    <w:p w14:paraId="2C281582" w14:textId="77777777" w:rsidR="008B5320" w:rsidRPr="008B5320" w:rsidRDefault="008B5320" w:rsidP="0072143D">
      <w:pPr>
        <w:spacing w:beforeLines="100" w:before="240"/>
        <w:rPr>
          <w:rFonts w:ascii="宋体" w:eastAsia="宋体" w:hAnsi="宋体"/>
          <w:b/>
          <w:bCs/>
          <w:sz w:val="24"/>
          <w:szCs w:val="24"/>
        </w:rPr>
      </w:pPr>
      <w:r w:rsidRPr="008B5320">
        <w:rPr>
          <w:rFonts w:ascii="宋体" w:eastAsia="宋体" w:hAnsi="宋体"/>
          <w:b/>
          <w:bCs/>
          <w:sz w:val="28"/>
          <w:szCs w:val="28"/>
        </w:rPr>
        <w:t>使用Apache Spark进行分布式异常检测</w:t>
      </w:r>
    </w:p>
    <w:p w14:paraId="18CDEF67"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对于那些数据规模巨大，以至于无法在单台机器上有效处理的超大规模数据集，分布式计算框架Apache Spark提供了强大而有效的解决方案。通过将庞大的数据集和复杂的计算任务分布到由多台机器组成的计算集群上，Spark能够实现大规模的并行处理，从而极大地提升数据处理的速度和可处理的数据规模。</w:t>
      </w:r>
    </w:p>
    <w:p w14:paraId="2F65FE5D"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分布式孤立森林</w:t>
      </w:r>
      <w:r w:rsidRPr="008B5320">
        <w:rPr>
          <w:rFonts w:ascii="宋体" w:eastAsia="宋体" w:hAnsi="宋体"/>
          <w:sz w:val="24"/>
          <w:szCs w:val="24"/>
        </w:rPr>
        <w:t> 孤立森林的集成特性使其天然地适合进行并行化处理。构成整个森林的每一棵独立的树，都可以在数据的不同子集上进行并行训练，而无需相互通信。这一特性使得在Spark上实现一个高效的分布式孤立森林变得相对直接和简单 。目前，多个成熟的开源库已经提供了在Spark上高效运行孤立森林的实现 。   </w:t>
      </w:r>
    </w:p>
    <w:p w14:paraId="76DBF53F"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分布式局部异常因子</w:t>
      </w:r>
      <w:r w:rsidRPr="008B5320">
        <w:rPr>
          <w:rFonts w:ascii="宋体" w:eastAsia="宋体" w:hAnsi="宋体"/>
          <w:sz w:val="24"/>
          <w:szCs w:val="24"/>
        </w:rPr>
        <w:t> 与孤立森林不同，像LOF这样高度依赖于邻域计算的算法，在分布式环境下的实现则更具挑战性 。计算一个数据点的局部密度需要访问其邻近的数据点，而在分布式环境中，这些邻近点很可能分布在集群的不同计算节点上。这就需要精心设计数据分区策略和高效的节点间通信机制，以最小化因数据传输而产生的巨大开销，确保算法的整体效率 。   </w:t>
      </w:r>
    </w:p>
    <w:p w14:paraId="6F5C6C51"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用于隐私保护异常检测的联邦学习</w:t>
      </w:r>
    </w:p>
    <w:p w14:paraId="47B45823"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在许多高度敏感的领域，特别是金融和医疗保健行业，数据由于其固有的敏感性和严格的隐私保护法规（如GDPR、HIPAA）的限制，无法被集中到单一的数据中心进行统一分析 。联邦学习 (FL) 作为一种新兴的分布式机器学习范式，为这一棘手的难题提供了创新的解决方案 。在联邦学习的框架下，模型训练在数据所在的本地设备或服务器上直接</w:t>
      </w:r>
      <w:r w:rsidRPr="008B5320">
        <w:rPr>
          <w:rFonts w:ascii="宋体" w:eastAsia="宋体" w:hAnsi="宋体"/>
          <w:sz w:val="24"/>
          <w:szCs w:val="24"/>
        </w:rPr>
        <w:lastRenderedPageBreak/>
        <w:t>进行，各个参与方（如不同的银行或医院）无需共享其宝贵的原始数据 。取而代之的是，它们只将本地训练好的模型参数或参数更新（例如梯度）安全地发送到一个中央服务器进行聚合，以构建一个性能更强大的全局模型 。这种“数据不动，模型动”的创新模式，在严格保护数据隐私和所有权的同时，实现了跨机构的协同异常检测，有效解决了长期存在的数据孤岛问题。这一系统架构的演进深刻地表明，现代数据科学工程不仅要考虑计算效率，还必须适应并融入由法律、商业和伦理因素共同构成的复杂社会技术生态系统。   </w:t>
      </w:r>
    </w:p>
    <w:p w14:paraId="6CA6022A"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特定领域的应用与案例研究</w:t>
      </w:r>
    </w:p>
    <w:p w14:paraId="37AE0217"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异常检测的真正价值最终体现在其解决现实世界复杂问题的能力上。通过将先进的算法与特定领域的深厚知识进行有机结合，异常检测系统已经在多个关键行业中创造了巨大的商业和社会价值。所有成功的应用案例都有一个共同的特点，即它们不仅仅是识别出异常，更是将检测结果无缝地集成到实际的操作流程中，通过自动化或半自动化的响应机制来产生实际的、可衡量的影响。</w:t>
      </w:r>
    </w:p>
    <w:p w14:paraId="2992F783"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网络安全与入侵检测</w:t>
      </w:r>
    </w:p>
    <w:p w14:paraId="062E1730"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在网络安全领域，异常检测是现代防御体系的核心组成部分，它尤其擅长识别那些能够巧妙绕过传统基于签名检测系统的未知威胁和零日攻击 。安全系统通过持续不断地监控网络流量、用户行为和系统日志，利用机器学习技术建立起一个动态的、能够反映正常活动的基线模型。任何显著偏离这一基线的行为都会被立即标记为潜在的威胁，并触发警报。具体的应用场景包括：   </w:t>
      </w:r>
    </w:p>
    <w:p w14:paraId="313C4190"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检测可疑登录</w:t>
      </w:r>
      <w:r w:rsidRPr="008B5320">
        <w:rPr>
          <w:rFonts w:ascii="宋体" w:eastAsia="宋体" w:hAnsi="宋体"/>
          <w:sz w:val="24"/>
          <w:szCs w:val="24"/>
        </w:rPr>
        <w:t> 实时识别那些来自异常地理位置或在非正常工作时间的登录尝试，这可能是账户被盗的信号 。   </w:t>
      </w:r>
    </w:p>
    <w:p w14:paraId="6FAC02D5"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发现异常文件访问</w:t>
      </w:r>
      <w:r w:rsidRPr="008B5320">
        <w:rPr>
          <w:rFonts w:ascii="宋体" w:eastAsia="宋体" w:hAnsi="宋体"/>
          <w:sz w:val="24"/>
          <w:szCs w:val="24"/>
        </w:rPr>
        <w:t> 监测用户对他们从未访问过的、高度敏感的文件的访问行为，这可能预示着内部威胁或数据窃取 。   </w:t>
      </w:r>
    </w:p>
    <w:p w14:paraId="34F59732"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识别异常网络流量</w:t>
      </w:r>
      <w:r w:rsidRPr="008B5320">
        <w:rPr>
          <w:rFonts w:ascii="宋体" w:eastAsia="宋体" w:hAnsi="宋体"/>
          <w:sz w:val="24"/>
          <w:szCs w:val="24"/>
        </w:rPr>
        <w:t> 发现指向未知服务器的大规模数据传输，这可能是数据泄露的明显迹象；或识别网络流量模式的突然改变，这可能预示着一次正在进行的分布式拒绝服务 (DDoS) 攻击 。   </w:t>
      </w:r>
    </w:p>
    <w:p w14:paraId="4CB62FB5"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金融欺诈检测</w:t>
      </w:r>
    </w:p>
    <w:p w14:paraId="045104BB"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金融行业是异常检测技术应用最广泛、最成熟，也是创造价值最直接的领域之一 。</w:t>
      </w:r>
      <w:r w:rsidRPr="008B5320">
        <w:rPr>
          <w:rFonts w:ascii="宋体" w:eastAsia="宋体" w:hAnsi="宋体"/>
          <w:sz w:val="24"/>
          <w:szCs w:val="24"/>
        </w:rPr>
        <w:lastRenderedPageBreak/>
        <w:t>由于金融交易数据量巨大且欺诈模式层出不穷、不断演变，实时异常检测对于防止金融损失和保护客户资产至关重要。现代金融风控系统利用大数据分析技术，能够从海量的交易流中实时识别出各种可疑的模式，例如：   </w:t>
      </w:r>
    </w:p>
    <w:p w14:paraId="332F2279" w14:textId="77777777" w:rsidR="008B5320" w:rsidRPr="008B5320" w:rsidRDefault="008B5320" w:rsidP="0072143D">
      <w:pPr>
        <w:spacing w:line="440" w:lineRule="exact"/>
        <w:ind w:firstLineChars="200" w:firstLine="480"/>
        <w:rPr>
          <w:rFonts w:ascii="宋体" w:eastAsia="宋体" w:hAnsi="宋体"/>
          <w:sz w:val="24"/>
          <w:szCs w:val="24"/>
        </w:rPr>
      </w:pPr>
      <w:r w:rsidRPr="008B5320">
        <w:rPr>
          <w:rFonts w:ascii="宋体" w:eastAsia="宋体" w:hAnsi="宋体"/>
          <w:sz w:val="24"/>
          <w:szCs w:val="24"/>
        </w:rPr>
        <w:t>远超个人历史消费习惯的超大额交易，这可能是信用卡被盗刷的典型特征 。   </w:t>
      </w:r>
    </w:p>
    <w:p w14:paraId="324A39B3" w14:textId="77777777" w:rsidR="008B5320" w:rsidRPr="008B5320" w:rsidRDefault="008B5320" w:rsidP="0072143D">
      <w:pPr>
        <w:spacing w:line="440" w:lineRule="exact"/>
        <w:ind w:firstLineChars="200" w:firstLine="480"/>
        <w:rPr>
          <w:rFonts w:ascii="宋体" w:eastAsia="宋体" w:hAnsi="宋体"/>
          <w:sz w:val="24"/>
          <w:szCs w:val="24"/>
        </w:rPr>
      </w:pPr>
      <w:r w:rsidRPr="008B5320">
        <w:rPr>
          <w:rFonts w:ascii="宋体" w:eastAsia="宋体" w:hAnsi="宋体"/>
          <w:sz w:val="24"/>
          <w:szCs w:val="24"/>
        </w:rPr>
        <w:t>在极短的时间窗口内发生的一系列高频交易（速度异常），这可能是账户被用于洗钱或自动化攻击的迹象 。   </w:t>
      </w:r>
    </w:p>
    <w:p w14:paraId="64945547" w14:textId="77777777" w:rsidR="008B5320" w:rsidRPr="008B5320" w:rsidRDefault="008B5320" w:rsidP="0072143D">
      <w:pPr>
        <w:spacing w:line="440" w:lineRule="exact"/>
        <w:ind w:firstLineChars="200" w:firstLine="480"/>
        <w:rPr>
          <w:rFonts w:ascii="宋体" w:eastAsia="宋体" w:hAnsi="宋体"/>
          <w:sz w:val="24"/>
          <w:szCs w:val="24"/>
        </w:rPr>
      </w:pPr>
      <w:r w:rsidRPr="008B5320">
        <w:rPr>
          <w:rFonts w:ascii="宋体" w:eastAsia="宋体" w:hAnsi="宋体"/>
          <w:sz w:val="24"/>
          <w:szCs w:val="24"/>
        </w:rPr>
        <w:t>来自与用户常住地或历史消费地完全不符的地理位置的交易，这增加了欺诈的可能性 。   </w:t>
      </w:r>
    </w:p>
    <w:p w14:paraId="2998690C"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更进一步，通过引入先进的图分析技术，金融机构能够将那些表面上看似孤立的账户和交易进行深度关联，从而揭示出共享设备、地址或支付方式的复杂账户网络，这种方法对于有效打击有组织的、协同作案的欺诈团伙尤为有效 。在这些应用中，检测系统的价值不仅在于其高度的准确性，更在于其极致的时效性。一个成功的欺诈检测系统必须在交易完成前的毫秒级时间内做出精准的判断，并立即触发相应的响应机制，例如阻止支付、冻结账户或要求用户进行二次身份验证。   </w:t>
      </w:r>
    </w:p>
    <w:p w14:paraId="5702CC8C"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工业物联网中的预测性维护</w:t>
      </w:r>
    </w:p>
    <w:p w14:paraId="216DF2E0"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在工业物联网 (IIoT) 领域，异常检测技术被广泛用于实现预测性维护，这一应用正在彻底改变传统的、基于固定周期的设备维护模式 。通过在工厂的关键设备上部署大量的传感器来持续收集温度、振动、压力、声学等实时数据，系统可以利用这些数据学习并建立设备在各种工况下的正常运行状态模型。当传感器数据出现微小但持续的异常模式时，例如设备温度逐渐升高或振动频率发生不易察觉的变化，系统会将其识别为设备可能即将发生故障的早期前兆。这种基于设备实际状态的预警机制使得维护团队能够：   </w:t>
      </w:r>
    </w:p>
    <w:p w14:paraId="120B30F4"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减少意外停机</w:t>
      </w:r>
      <w:r w:rsidRPr="008B5320">
        <w:rPr>
          <w:rFonts w:ascii="宋体" w:eastAsia="宋体" w:hAnsi="宋体"/>
          <w:sz w:val="24"/>
          <w:szCs w:val="24"/>
        </w:rPr>
        <w:t> 在设备彻底损坏导致生产中断之前进行主动干预，从而避免巨大的经济损失.   </w:t>
      </w:r>
    </w:p>
    <w:p w14:paraId="5261AF3F"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优化维护计划</w:t>
      </w:r>
      <w:r w:rsidRPr="008B5320">
        <w:rPr>
          <w:rFonts w:ascii="宋体" w:eastAsia="宋体" w:hAnsi="宋体"/>
          <w:sz w:val="24"/>
          <w:szCs w:val="24"/>
        </w:rPr>
        <w:t> 从过去固定的、可能是不必要的定期维护，转向更加高效的按需维护，从而显著节约人力和备件成本.   </w:t>
      </w:r>
    </w:p>
    <w:p w14:paraId="088CDCFB" w14:textId="77777777" w:rsidR="008B5320" w:rsidRPr="008B5320" w:rsidRDefault="008B5320" w:rsidP="0072143D">
      <w:pPr>
        <w:spacing w:line="440" w:lineRule="exact"/>
        <w:ind w:firstLineChars="200" w:firstLine="482"/>
        <w:rPr>
          <w:rFonts w:ascii="宋体" w:eastAsia="宋体" w:hAnsi="宋体"/>
          <w:sz w:val="24"/>
          <w:szCs w:val="24"/>
        </w:rPr>
      </w:pPr>
      <w:r w:rsidRPr="008B5320">
        <w:rPr>
          <w:rFonts w:ascii="宋体" w:eastAsia="宋体" w:hAnsi="宋体"/>
          <w:b/>
          <w:bCs/>
          <w:sz w:val="24"/>
          <w:szCs w:val="24"/>
        </w:rPr>
        <w:t>延长设备寿命</w:t>
      </w:r>
      <w:r w:rsidRPr="008B5320">
        <w:rPr>
          <w:rFonts w:ascii="宋体" w:eastAsia="宋体" w:hAnsi="宋体"/>
          <w:sz w:val="24"/>
          <w:szCs w:val="24"/>
        </w:rPr>
        <w:t> 通过及早发现并解决小问题，防止其演变成无法修复的、灾难性的严重故障，从而最大化设备的服役年限.   </w:t>
      </w:r>
    </w:p>
    <w:p w14:paraId="1F063B8A"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这些生动的案例充分表明，异常检测并非一个孤立的分析任务，而是作为一个复杂自动化系统的“感知器官”而存在。其最终的成功与否，在很大程度上取决于能否将检测到</w:t>
      </w:r>
      <w:r w:rsidRPr="008B5320">
        <w:rPr>
          <w:rFonts w:ascii="宋体" w:eastAsia="宋体" w:hAnsi="宋体"/>
          <w:sz w:val="24"/>
          <w:szCs w:val="24"/>
        </w:rPr>
        <w:lastRenderedPageBreak/>
        <w:t>的微弱“信号”转化为及时的、有意义的“行动”，同时还需要有效管理因误报（假阳性）可能导致的“警报疲劳”问题，以确保系统的长期有效性和操作人员的信任 。   </w:t>
      </w:r>
    </w:p>
    <w:p w14:paraId="4D26D301"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异常检测的未来展望</w:t>
      </w:r>
    </w:p>
    <w:p w14:paraId="6579BE34"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随着数据环境的持续演变和人工智能技术的不断突破，异常检测领域正朝着更加智能、可信和自动化的方向快速发展。两个相互关联但又存在一定张力的关键趋势，即可解释性（Explainability）和自动化（Automation），正在共同塑造下一代异常检测系统的面貌。</w:t>
      </w:r>
    </w:p>
    <w:p w14:paraId="0A82BFDD"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可解释异常检测的必要性 (XAD)</w:t>
      </w:r>
    </w:p>
    <w:p w14:paraId="55073522"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随着深度学习等日益复杂的模型在异常检测任务中得到广泛应用并取得显著成功，这些模型的“黑箱”问题也日益凸出 。这些模型虽然性能强大，但其内部的决策过程往往是不透明的，这使得分析人员和最终用户难以理解为什么某个特定的数据点会被系统标记为异常 。在金融风控、医疗诊断和网络安全等高风险、高影响力的领域，这种不可解释性是不可接受的，因为它不仅阻碍了信任的建立，也违反了许多新兴的法规要求。因此，对可解释异常检测 (Explainable Anomaly Detection, XAD) 的需求正变得日益增长和迫切 。XAD旨在为模型的异常判定提供清晰、直观、人类可理解的解释，这对于建立用户信任、帮助调试和改进模型、满足日益严格的合规性要求，以及从识别出的异常中获得更深层次的业务洞见都至关重要 。   </w:t>
      </w:r>
    </w:p>
    <w:p w14:paraId="108E4DDE" w14:textId="77777777" w:rsidR="008B5320" w:rsidRPr="008B5320" w:rsidRDefault="008B5320" w:rsidP="0072143D">
      <w:pPr>
        <w:spacing w:beforeLines="100" w:before="240"/>
        <w:rPr>
          <w:rFonts w:ascii="宋体" w:eastAsia="宋体" w:hAnsi="宋体"/>
          <w:b/>
          <w:bCs/>
          <w:sz w:val="28"/>
          <w:szCs w:val="28"/>
        </w:rPr>
      </w:pPr>
      <w:r w:rsidRPr="008B5320">
        <w:rPr>
          <w:rFonts w:ascii="宋体" w:eastAsia="宋体" w:hAnsi="宋体"/>
          <w:b/>
          <w:bCs/>
          <w:sz w:val="28"/>
          <w:szCs w:val="28"/>
        </w:rPr>
        <w:t>自动化机器学习的兴起 (AutoML)</w:t>
      </w:r>
    </w:p>
    <w:p w14:paraId="3E4E026F"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异常检测模型的开发过程通常是复杂且耗时的，它涉及到特征工程、模型选择、超参数调优等多个高度依赖专业知识和经验的环节 。自动化机器学习 (AutoML) 的出现，旨在通过自动化这些繁琐的流程来显著降低应用先进机器学习技术的技术门槛，并大幅提高模型开发的效率 。AutoML框架能够自动地、系统性地探索不同的算法和参数组合，从而为给定的异常检测任务找到最优或接近最优的模型配置 。这将使得更多没有深厚数据科学背景的领域专家（如金融分析师、工厂工程师）也能够轻松地应用先进的异常检测技术来解决他们领域内的实际问题，从而极大地加速异常检测技术在各行各业的普及和深化应用。   </w:t>
      </w:r>
    </w:p>
    <w:p w14:paraId="51C02C6C" w14:textId="77777777" w:rsidR="008B5320" w:rsidRPr="008B5320" w:rsidRDefault="008B5320" w:rsidP="008B5320">
      <w:pPr>
        <w:spacing w:line="440" w:lineRule="exact"/>
        <w:ind w:firstLineChars="200" w:firstLine="482"/>
        <w:rPr>
          <w:rFonts w:ascii="宋体" w:eastAsia="宋体" w:hAnsi="宋体"/>
          <w:b/>
          <w:bCs/>
          <w:sz w:val="24"/>
          <w:szCs w:val="24"/>
        </w:rPr>
      </w:pPr>
      <w:r w:rsidRPr="008B5320">
        <w:rPr>
          <w:rFonts w:ascii="宋体" w:eastAsia="宋体" w:hAnsi="宋体"/>
          <w:b/>
          <w:bCs/>
          <w:sz w:val="24"/>
          <w:szCs w:val="24"/>
        </w:rPr>
        <w:t>结论</w:t>
      </w:r>
    </w:p>
    <w:p w14:paraId="54750BBE"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异常检测已经从一个相对简单的统计问题，演变为一个集可扩展性、实时性、隐私保护和智能决策于一体的复杂、多维度的学科，并已成为大数据分析生态系统的核心组成部</w:t>
      </w:r>
      <w:r w:rsidRPr="008B5320">
        <w:rPr>
          <w:rFonts w:ascii="宋体" w:eastAsia="宋体" w:hAnsi="宋体"/>
          <w:sz w:val="24"/>
          <w:szCs w:val="24"/>
        </w:rPr>
        <w:lastRenderedPageBreak/>
        <w:t>分。回顾其波澜壮阔的发展历程，算法的演进清晰地展示了整个领域为了应对数据日益增长的复杂性而做出的持续的、富有创造力的适应性变化。</w:t>
      </w:r>
    </w:p>
    <w:p w14:paraId="29505011" w14:textId="77777777" w:rsidR="008B5320" w:rsidRPr="008B5320" w:rsidRDefault="008B5320" w:rsidP="008B5320">
      <w:pPr>
        <w:spacing w:line="440" w:lineRule="exact"/>
        <w:ind w:firstLineChars="200" w:firstLine="480"/>
        <w:rPr>
          <w:rFonts w:ascii="宋体" w:eastAsia="宋体" w:hAnsi="宋体"/>
          <w:sz w:val="24"/>
          <w:szCs w:val="24"/>
        </w:rPr>
      </w:pPr>
      <w:r w:rsidRPr="008B5320">
        <w:rPr>
          <w:rFonts w:ascii="宋体" w:eastAsia="宋体" w:hAnsi="宋体"/>
          <w:sz w:val="24"/>
          <w:szCs w:val="24"/>
        </w:rPr>
        <w:t>展望未来，可解释性 (XAD) 和自动化 (AutoML) 这两大趋势似乎在某种程度上指向不同的方向：前者试图为日益复杂的模型增加一层人类可以理解的逻辑外衣，而后者则致力于将人类从繁琐且易错的模型构建循环中彻底解放出来。然而，真正的、革命性的突破可能恰恰在于这两者的深度融合。一个能够自动构建高性能模型，并且这些模型本身就是内在可解释的，或者能够自动生成高质量解释的系统，即“可解释的AutoML”，将是该领域的终极目标。这样的系统不仅能提供准确的检测结果，还能以完全透明和可信的方式解释其决策过程，从而完美地解决当前技术发展中存在的根本性张力，并引领异常检测技术进入一个全新的、更加智能和可信赖的发展阶段。</w:t>
      </w:r>
    </w:p>
    <w:p w14:paraId="2D71FB5B" w14:textId="77777777" w:rsidR="00D25CB2" w:rsidRPr="008B5320" w:rsidRDefault="00D25CB2" w:rsidP="008B5320">
      <w:pPr>
        <w:spacing w:line="440" w:lineRule="exact"/>
        <w:ind w:firstLineChars="200" w:firstLine="480"/>
        <w:rPr>
          <w:rFonts w:ascii="宋体" w:eastAsia="宋体" w:hAnsi="宋体"/>
          <w:sz w:val="24"/>
          <w:szCs w:val="24"/>
        </w:rPr>
      </w:pPr>
    </w:p>
    <w:sectPr w:rsidR="00D25CB2" w:rsidRPr="008B5320" w:rsidSect="00F36646">
      <w:pgSz w:w="12240" w:h="15840"/>
      <w:pgMar w:top="1247" w:right="1440" w:bottom="1440" w:left="1247" w:header="794" w:footer="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4D06" w14:textId="77777777" w:rsidR="008C054B" w:rsidRDefault="008C054B" w:rsidP="008B5320">
      <w:r>
        <w:separator/>
      </w:r>
    </w:p>
  </w:endnote>
  <w:endnote w:type="continuationSeparator" w:id="0">
    <w:p w14:paraId="5F8CB51B" w14:textId="77777777" w:rsidR="008C054B" w:rsidRDefault="008C054B" w:rsidP="008B5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9EF5" w14:textId="77777777" w:rsidR="008C054B" w:rsidRDefault="008C054B" w:rsidP="008B5320">
      <w:r>
        <w:separator/>
      </w:r>
    </w:p>
  </w:footnote>
  <w:footnote w:type="continuationSeparator" w:id="0">
    <w:p w14:paraId="54222471" w14:textId="77777777" w:rsidR="008C054B" w:rsidRDefault="008C054B" w:rsidP="008B5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64E"/>
    <w:multiLevelType w:val="multilevel"/>
    <w:tmpl w:val="732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60688"/>
    <w:multiLevelType w:val="multilevel"/>
    <w:tmpl w:val="63A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8190D"/>
    <w:multiLevelType w:val="multilevel"/>
    <w:tmpl w:val="912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A5510"/>
    <w:multiLevelType w:val="multilevel"/>
    <w:tmpl w:val="F74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55B8B"/>
    <w:multiLevelType w:val="multilevel"/>
    <w:tmpl w:val="54D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DE7B4C"/>
    <w:multiLevelType w:val="multilevel"/>
    <w:tmpl w:val="CAA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7097F"/>
    <w:multiLevelType w:val="multilevel"/>
    <w:tmpl w:val="DDA8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461A63"/>
    <w:multiLevelType w:val="multilevel"/>
    <w:tmpl w:val="0AE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3764D"/>
    <w:multiLevelType w:val="multilevel"/>
    <w:tmpl w:val="51F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F95CCA"/>
    <w:multiLevelType w:val="multilevel"/>
    <w:tmpl w:val="D6286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DB612C"/>
    <w:multiLevelType w:val="multilevel"/>
    <w:tmpl w:val="458A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4341903">
    <w:abstractNumId w:val="2"/>
  </w:num>
  <w:num w:numId="2" w16cid:durableId="945886864">
    <w:abstractNumId w:val="7"/>
  </w:num>
  <w:num w:numId="3" w16cid:durableId="800999322">
    <w:abstractNumId w:val="8"/>
  </w:num>
  <w:num w:numId="4" w16cid:durableId="1595480821">
    <w:abstractNumId w:val="6"/>
  </w:num>
  <w:num w:numId="5" w16cid:durableId="600533519">
    <w:abstractNumId w:val="9"/>
  </w:num>
  <w:num w:numId="6" w16cid:durableId="577595672">
    <w:abstractNumId w:val="4"/>
  </w:num>
  <w:num w:numId="7" w16cid:durableId="1245603731">
    <w:abstractNumId w:val="3"/>
  </w:num>
  <w:num w:numId="8" w16cid:durableId="1368800309">
    <w:abstractNumId w:val="0"/>
  </w:num>
  <w:num w:numId="9" w16cid:durableId="1246185680">
    <w:abstractNumId w:val="1"/>
  </w:num>
  <w:num w:numId="10" w16cid:durableId="334652518">
    <w:abstractNumId w:val="5"/>
  </w:num>
  <w:num w:numId="11" w16cid:durableId="1705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A50"/>
    <w:rsid w:val="005C092B"/>
    <w:rsid w:val="0072143D"/>
    <w:rsid w:val="00782DA0"/>
    <w:rsid w:val="007A23DE"/>
    <w:rsid w:val="008B5320"/>
    <w:rsid w:val="008C054B"/>
    <w:rsid w:val="008D1725"/>
    <w:rsid w:val="00A96F99"/>
    <w:rsid w:val="00AC069B"/>
    <w:rsid w:val="00AE1675"/>
    <w:rsid w:val="00C24E7C"/>
    <w:rsid w:val="00C47A50"/>
    <w:rsid w:val="00D25CB2"/>
    <w:rsid w:val="00F36646"/>
    <w:rsid w:val="00F95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2449E"/>
  <w15:chartTrackingRefBased/>
  <w15:docId w15:val="{AC117B0B-1277-4055-B51A-C32F48F3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7A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7A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7A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7A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7A5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7A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7A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7A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7A5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7A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7A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7A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7A50"/>
    <w:rPr>
      <w:rFonts w:cstheme="majorBidi"/>
      <w:color w:val="0F4761" w:themeColor="accent1" w:themeShade="BF"/>
      <w:sz w:val="28"/>
      <w:szCs w:val="28"/>
    </w:rPr>
  </w:style>
  <w:style w:type="character" w:customStyle="1" w:styleId="50">
    <w:name w:val="标题 5 字符"/>
    <w:basedOn w:val="a0"/>
    <w:link w:val="5"/>
    <w:uiPriority w:val="9"/>
    <w:semiHidden/>
    <w:rsid w:val="00C47A50"/>
    <w:rPr>
      <w:rFonts w:cstheme="majorBidi"/>
      <w:color w:val="0F4761" w:themeColor="accent1" w:themeShade="BF"/>
      <w:sz w:val="24"/>
      <w:szCs w:val="24"/>
    </w:rPr>
  </w:style>
  <w:style w:type="character" w:customStyle="1" w:styleId="60">
    <w:name w:val="标题 6 字符"/>
    <w:basedOn w:val="a0"/>
    <w:link w:val="6"/>
    <w:uiPriority w:val="9"/>
    <w:semiHidden/>
    <w:rsid w:val="00C47A50"/>
    <w:rPr>
      <w:rFonts w:cstheme="majorBidi"/>
      <w:b/>
      <w:bCs/>
      <w:color w:val="0F4761" w:themeColor="accent1" w:themeShade="BF"/>
    </w:rPr>
  </w:style>
  <w:style w:type="character" w:customStyle="1" w:styleId="70">
    <w:name w:val="标题 7 字符"/>
    <w:basedOn w:val="a0"/>
    <w:link w:val="7"/>
    <w:uiPriority w:val="9"/>
    <w:semiHidden/>
    <w:rsid w:val="00C47A50"/>
    <w:rPr>
      <w:rFonts w:cstheme="majorBidi"/>
      <w:b/>
      <w:bCs/>
      <w:color w:val="595959" w:themeColor="text1" w:themeTint="A6"/>
    </w:rPr>
  </w:style>
  <w:style w:type="character" w:customStyle="1" w:styleId="80">
    <w:name w:val="标题 8 字符"/>
    <w:basedOn w:val="a0"/>
    <w:link w:val="8"/>
    <w:uiPriority w:val="9"/>
    <w:semiHidden/>
    <w:rsid w:val="00C47A50"/>
    <w:rPr>
      <w:rFonts w:cstheme="majorBidi"/>
      <w:color w:val="595959" w:themeColor="text1" w:themeTint="A6"/>
    </w:rPr>
  </w:style>
  <w:style w:type="character" w:customStyle="1" w:styleId="90">
    <w:name w:val="标题 9 字符"/>
    <w:basedOn w:val="a0"/>
    <w:link w:val="9"/>
    <w:uiPriority w:val="9"/>
    <w:semiHidden/>
    <w:rsid w:val="00C47A50"/>
    <w:rPr>
      <w:rFonts w:eastAsiaTheme="majorEastAsia" w:cstheme="majorBidi"/>
      <w:color w:val="595959" w:themeColor="text1" w:themeTint="A6"/>
    </w:rPr>
  </w:style>
  <w:style w:type="paragraph" w:styleId="a3">
    <w:name w:val="Title"/>
    <w:basedOn w:val="a"/>
    <w:next w:val="a"/>
    <w:link w:val="a4"/>
    <w:uiPriority w:val="10"/>
    <w:qFormat/>
    <w:rsid w:val="00C47A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7A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7A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7A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7A50"/>
    <w:pPr>
      <w:spacing w:before="160" w:after="160"/>
      <w:jc w:val="center"/>
    </w:pPr>
    <w:rPr>
      <w:i/>
      <w:iCs/>
      <w:color w:val="404040" w:themeColor="text1" w:themeTint="BF"/>
    </w:rPr>
  </w:style>
  <w:style w:type="character" w:customStyle="1" w:styleId="a8">
    <w:name w:val="引用 字符"/>
    <w:basedOn w:val="a0"/>
    <w:link w:val="a7"/>
    <w:uiPriority w:val="29"/>
    <w:rsid w:val="00C47A50"/>
    <w:rPr>
      <w:i/>
      <w:iCs/>
      <w:color w:val="404040" w:themeColor="text1" w:themeTint="BF"/>
    </w:rPr>
  </w:style>
  <w:style w:type="paragraph" w:styleId="a9">
    <w:name w:val="List Paragraph"/>
    <w:basedOn w:val="a"/>
    <w:uiPriority w:val="34"/>
    <w:qFormat/>
    <w:rsid w:val="00C47A50"/>
    <w:pPr>
      <w:ind w:left="720"/>
      <w:contextualSpacing/>
    </w:pPr>
  </w:style>
  <w:style w:type="character" w:styleId="aa">
    <w:name w:val="Intense Emphasis"/>
    <w:basedOn w:val="a0"/>
    <w:uiPriority w:val="21"/>
    <w:qFormat/>
    <w:rsid w:val="00C47A50"/>
    <w:rPr>
      <w:i/>
      <w:iCs/>
      <w:color w:val="0F4761" w:themeColor="accent1" w:themeShade="BF"/>
    </w:rPr>
  </w:style>
  <w:style w:type="paragraph" w:styleId="ab">
    <w:name w:val="Intense Quote"/>
    <w:basedOn w:val="a"/>
    <w:next w:val="a"/>
    <w:link w:val="ac"/>
    <w:uiPriority w:val="30"/>
    <w:qFormat/>
    <w:rsid w:val="00C4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7A50"/>
    <w:rPr>
      <w:i/>
      <w:iCs/>
      <w:color w:val="0F4761" w:themeColor="accent1" w:themeShade="BF"/>
    </w:rPr>
  </w:style>
  <w:style w:type="character" w:styleId="ad">
    <w:name w:val="Intense Reference"/>
    <w:basedOn w:val="a0"/>
    <w:uiPriority w:val="32"/>
    <w:qFormat/>
    <w:rsid w:val="00C47A50"/>
    <w:rPr>
      <w:b/>
      <w:bCs/>
      <w:smallCaps/>
      <w:color w:val="0F4761" w:themeColor="accent1" w:themeShade="BF"/>
      <w:spacing w:val="5"/>
    </w:rPr>
  </w:style>
  <w:style w:type="paragraph" w:styleId="ae">
    <w:name w:val="header"/>
    <w:basedOn w:val="a"/>
    <w:link w:val="af"/>
    <w:uiPriority w:val="99"/>
    <w:unhideWhenUsed/>
    <w:rsid w:val="008B5320"/>
    <w:pPr>
      <w:tabs>
        <w:tab w:val="center" w:pos="4153"/>
        <w:tab w:val="right" w:pos="8306"/>
      </w:tabs>
      <w:snapToGrid w:val="0"/>
      <w:jc w:val="center"/>
    </w:pPr>
    <w:rPr>
      <w:sz w:val="18"/>
      <w:szCs w:val="18"/>
    </w:rPr>
  </w:style>
  <w:style w:type="character" w:customStyle="1" w:styleId="af">
    <w:name w:val="页眉 字符"/>
    <w:basedOn w:val="a0"/>
    <w:link w:val="ae"/>
    <w:uiPriority w:val="99"/>
    <w:rsid w:val="008B5320"/>
    <w:rPr>
      <w:sz w:val="18"/>
      <w:szCs w:val="18"/>
    </w:rPr>
  </w:style>
  <w:style w:type="paragraph" w:styleId="af0">
    <w:name w:val="footer"/>
    <w:basedOn w:val="a"/>
    <w:link w:val="af1"/>
    <w:uiPriority w:val="99"/>
    <w:unhideWhenUsed/>
    <w:rsid w:val="008B5320"/>
    <w:pPr>
      <w:tabs>
        <w:tab w:val="center" w:pos="4153"/>
        <w:tab w:val="right" w:pos="8306"/>
      </w:tabs>
      <w:snapToGrid w:val="0"/>
      <w:jc w:val="left"/>
    </w:pPr>
    <w:rPr>
      <w:sz w:val="18"/>
      <w:szCs w:val="18"/>
    </w:rPr>
  </w:style>
  <w:style w:type="character" w:customStyle="1" w:styleId="af1">
    <w:name w:val="页脚 字符"/>
    <w:basedOn w:val="a0"/>
    <w:link w:val="af0"/>
    <w:uiPriority w:val="99"/>
    <w:rsid w:val="008B53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sinon kong</dc:creator>
  <cp:keywords/>
  <dc:description/>
  <cp:lastModifiedBy>sinon kong</cp:lastModifiedBy>
  <cp:revision>3</cp:revision>
  <dcterms:created xsi:type="dcterms:W3CDTF">2025-10-28T05:37:00Z</dcterms:created>
  <dcterms:modified xsi:type="dcterms:W3CDTF">2025-10-28T06:02:00Z</dcterms:modified>
</cp:coreProperties>
</file>