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A727" w14:textId="77777777" w:rsidR="00CD329B" w:rsidRDefault="00CD329B">
      <w:pPr>
        <w:pStyle w:val="a6"/>
        <w:spacing w:before="0" w:beforeAutospacing="0" w:after="120" w:afterAutospacing="0" w:line="360" w:lineRule="auto"/>
        <w:jc w:val="center"/>
        <w:outlineLvl w:val="0"/>
        <w:rPr>
          <w:rFonts w:ascii="宋体" w:eastAsia="宋体" w:hAnsi="宋体"/>
          <w:sz w:val="44"/>
        </w:rPr>
      </w:pPr>
    </w:p>
    <w:p w14:paraId="467C4029" w14:textId="77777777" w:rsidR="00CD329B" w:rsidRDefault="00CD329B">
      <w:pPr>
        <w:pStyle w:val="a6"/>
        <w:spacing w:before="0" w:beforeAutospacing="0" w:after="120" w:afterAutospacing="0" w:line="360" w:lineRule="auto"/>
        <w:jc w:val="center"/>
        <w:outlineLvl w:val="0"/>
        <w:rPr>
          <w:rFonts w:ascii="宋体" w:eastAsia="宋体" w:hAnsi="宋体"/>
          <w:sz w:val="44"/>
        </w:rPr>
      </w:pPr>
    </w:p>
    <w:p w14:paraId="27B63931" w14:textId="77777777" w:rsidR="00CD329B" w:rsidRDefault="00CD329B">
      <w:pPr>
        <w:pStyle w:val="a6"/>
        <w:spacing w:before="0" w:beforeAutospacing="0" w:after="120" w:afterAutospacing="0" w:line="360" w:lineRule="auto"/>
        <w:jc w:val="center"/>
        <w:outlineLvl w:val="0"/>
        <w:rPr>
          <w:rFonts w:ascii="宋体" w:eastAsia="宋体" w:hAnsi="宋体"/>
          <w:sz w:val="44"/>
        </w:rPr>
      </w:pPr>
    </w:p>
    <w:p w14:paraId="14BCCD8B" w14:textId="77777777" w:rsidR="00CD329B" w:rsidRDefault="00000000">
      <w:pPr>
        <w:pStyle w:val="a6"/>
        <w:spacing w:before="0" w:beforeAutospacing="0" w:after="120" w:afterAutospacing="0" w:line="360" w:lineRule="auto"/>
        <w:jc w:val="center"/>
        <w:outlineLvl w:val="0"/>
        <w:rPr>
          <w:rFonts w:ascii="宋体" w:eastAsia="宋体" w:hAnsi="宋体"/>
          <w:sz w:val="44"/>
        </w:rPr>
      </w:pPr>
      <w:r>
        <w:rPr>
          <w:rFonts w:ascii="宋体" w:eastAsia="宋体" w:hAnsi="宋体" w:hint="eastAsia"/>
          <w:sz w:val="44"/>
        </w:rPr>
        <w:t xml:space="preserve">案例分析报告 </w:t>
      </w:r>
    </w:p>
    <w:p w14:paraId="2A25FE93" w14:textId="77777777" w:rsidR="00CD329B" w:rsidRDefault="00CD329B">
      <w:pPr>
        <w:pStyle w:val="a6"/>
        <w:spacing w:before="0" w:beforeAutospacing="0" w:after="120" w:afterAutospacing="0" w:line="360" w:lineRule="auto"/>
        <w:jc w:val="center"/>
        <w:outlineLvl w:val="0"/>
        <w:rPr>
          <w:rFonts w:ascii="宋体" w:eastAsia="宋体" w:hAnsi="宋体"/>
          <w:sz w:val="44"/>
        </w:rPr>
      </w:pPr>
    </w:p>
    <w:p w14:paraId="0EA42645" w14:textId="77777777" w:rsidR="00CD329B" w:rsidRDefault="00CD329B">
      <w:pPr>
        <w:widowControl/>
        <w:jc w:val="center"/>
        <w:rPr>
          <w:rFonts w:ascii="Microsoft Sans Serif" w:eastAsia="Microsoft Sans Serif" w:hAnsi="Microsoft Sans Serif" w:cs="Microsoft Sans Serif"/>
          <w:color w:val="000000"/>
          <w:kern w:val="0"/>
          <w:sz w:val="52"/>
          <w:szCs w:val="52"/>
        </w:rPr>
      </w:pPr>
    </w:p>
    <w:p w14:paraId="4A5CE8E0" w14:textId="77777777" w:rsidR="00CD329B" w:rsidRDefault="00000000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700" w:lineRule="exact"/>
        <w:jc w:val="center"/>
        <w:rPr>
          <w:rFonts w:ascii="宋体" w:hAnsi="宋体" w:cs="MS Shell Dlg"/>
          <w:sz w:val="36"/>
          <w:szCs w:val="36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52"/>
          <w:szCs w:val="52"/>
        </w:rPr>
        <w:t>H市低空综合飞行基建项目经济评价</w:t>
      </w:r>
    </w:p>
    <w:p w14:paraId="695EC1F9" w14:textId="77777777" w:rsidR="00CD329B" w:rsidRDefault="00CD329B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wordWrap w:val="0"/>
        <w:spacing w:line="700" w:lineRule="exact"/>
        <w:ind w:firstLineChars="400" w:firstLine="1440"/>
        <w:rPr>
          <w:rFonts w:ascii="宋体" w:hAnsi="宋体" w:cs="MS Shell Dlg"/>
          <w:sz w:val="36"/>
          <w:szCs w:val="36"/>
        </w:rPr>
      </w:pPr>
    </w:p>
    <w:p w14:paraId="795E4393" w14:textId="2F9B4724" w:rsidR="00FC514C" w:rsidRDefault="00FC514C" w:rsidP="00FC514C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wordWrap w:val="0"/>
        <w:spacing w:line="700" w:lineRule="exact"/>
        <w:ind w:firstLineChars="400" w:firstLine="1440"/>
        <w:rPr>
          <w:rFonts w:ascii="宋体" w:hAnsi="宋体" w:cs="MS Shell Dlg"/>
          <w:sz w:val="36"/>
          <w:szCs w:val="36"/>
        </w:rPr>
      </w:pPr>
      <w:r>
        <w:rPr>
          <w:rFonts w:ascii="宋体" w:hAnsi="宋体" w:cs="MS Shell Dlg" w:hint="eastAsia"/>
          <w:sz w:val="36"/>
          <w:szCs w:val="36"/>
        </w:rPr>
        <w:t>班组号：（</w:t>
      </w:r>
      <w:r w:rsidRPr="00767B4D">
        <w:rPr>
          <w:rFonts w:ascii="Times New Roman" w:hAnsi="Times New Roman" w:cs="Times New Roman"/>
          <w:sz w:val="36"/>
          <w:szCs w:val="36"/>
        </w:rPr>
        <w:t>B2-14-</w:t>
      </w:r>
      <w:r>
        <w:rPr>
          <w:rFonts w:ascii="Times New Roman" w:hAnsi="Times New Roman" w:cs="Times New Roman" w:hint="eastAsia"/>
          <w:sz w:val="36"/>
          <w:szCs w:val="36"/>
        </w:rPr>
        <w:t>3</w:t>
      </w:r>
      <w:r>
        <w:rPr>
          <w:rFonts w:ascii="宋体" w:hAnsi="宋体" w:cs="MS Shell Dlg" w:hint="eastAsia"/>
          <w:sz w:val="36"/>
          <w:szCs w:val="36"/>
        </w:rPr>
        <w:t>）</w:t>
      </w:r>
    </w:p>
    <w:p w14:paraId="30534714" w14:textId="77777777" w:rsidR="00FC514C" w:rsidRPr="00767B4D" w:rsidRDefault="00FC514C" w:rsidP="00FC514C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wordWrap w:val="0"/>
        <w:spacing w:line="700" w:lineRule="exact"/>
        <w:ind w:firstLineChars="472" w:firstLine="1416"/>
        <w:rPr>
          <w:rFonts w:ascii="Times New Roman" w:hAnsi="Times New Roman" w:cs="Times New Roman"/>
          <w:sz w:val="30"/>
          <w:szCs w:val="30"/>
        </w:rPr>
      </w:pPr>
      <w:r w:rsidRPr="00767B4D">
        <w:rPr>
          <w:rFonts w:ascii="Times New Roman" w:hAnsi="Times New Roman" w:cs="Times New Roman"/>
          <w:sz w:val="30"/>
          <w:szCs w:val="30"/>
        </w:rPr>
        <w:t xml:space="preserve">1 </w:t>
      </w:r>
      <w:r w:rsidRPr="00767B4D">
        <w:rPr>
          <w:rFonts w:ascii="Times New Roman" w:hAnsi="Times New Roman" w:cs="Times New Roman"/>
          <w:sz w:val="30"/>
          <w:szCs w:val="30"/>
        </w:rPr>
        <w:t>班级：</w:t>
      </w:r>
      <w:r w:rsidRPr="00767B4D">
        <w:rPr>
          <w:rFonts w:ascii="Times New Roman" w:hAnsi="Times New Roman" w:cs="Times New Roman"/>
          <w:sz w:val="30"/>
          <w:szCs w:val="30"/>
        </w:rPr>
        <w:t>20230461</w:t>
      </w:r>
      <w:r w:rsidRPr="00767B4D">
        <w:rPr>
          <w:rFonts w:ascii="Times New Roman" w:hAnsi="Times New Roman" w:cs="Times New Roman"/>
          <w:sz w:val="30"/>
          <w:szCs w:val="30"/>
        </w:rPr>
        <w:t>学号：</w:t>
      </w:r>
      <w:r w:rsidRPr="00767B4D">
        <w:rPr>
          <w:rFonts w:ascii="Times New Roman" w:hAnsi="Times New Roman" w:cs="Times New Roman"/>
          <w:sz w:val="30"/>
          <w:szCs w:val="30"/>
        </w:rPr>
        <w:t>2023040620</w:t>
      </w:r>
      <w:r w:rsidRPr="00767B4D">
        <w:rPr>
          <w:rFonts w:ascii="Times New Roman" w:hAnsi="Times New Roman" w:cs="Times New Roman"/>
          <w:sz w:val="30"/>
          <w:szCs w:val="30"/>
        </w:rPr>
        <w:t>姓名：孔维彬</w:t>
      </w:r>
      <w:r w:rsidRPr="00767B4D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5DA9AAB" w14:textId="77777777" w:rsidR="00FC514C" w:rsidRPr="00767B4D" w:rsidRDefault="00FC514C" w:rsidP="00FC514C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wordWrap w:val="0"/>
        <w:spacing w:line="700" w:lineRule="exact"/>
        <w:ind w:firstLineChars="472" w:firstLine="1416"/>
        <w:rPr>
          <w:rFonts w:ascii="Times New Roman" w:hAnsi="Times New Roman" w:cs="Times New Roman"/>
          <w:sz w:val="30"/>
          <w:szCs w:val="30"/>
        </w:rPr>
      </w:pPr>
      <w:r w:rsidRPr="00767B4D">
        <w:rPr>
          <w:rFonts w:ascii="Times New Roman" w:hAnsi="Times New Roman" w:cs="Times New Roman"/>
          <w:sz w:val="30"/>
          <w:szCs w:val="30"/>
        </w:rPr>
        <w:t xml:space="preserve">2 </w:t>
      </w:r>
      <w:r w:rsidRPr="00767B4D">
        <w:rPr>
          <w:rFonts w:ascii="Times New Roman" w:hAnsi="Times New Roman" w:cs="Times New Roman"/>
          <w:sz w:val="30"/>
          <w:szCs w:val="30"/>
        </w:rPr>
        <w:t>班级：</w:t>
      </w:r>
      <w:r w:rsidRPr="00767B4D">
        <w:rPr>
          <w:rFonts w:ascii="Times New Roman" w:hAnsi="Times New Roman" w:cs="Times New Roman"/>
          <w:sz w:val="30"/>
          <w:szCs w:val="30"/>
        </w:rPr>
        <w:t>20230461</w:t>
      </w:r>
      <w:r w:rsidRPr="00767B4D">
        <w:rPr>
          <w:rFonts w:ascii="Times New Roman" w:hAnsi="Times New Roman" w:cs="Times New Roman"/>
          <w:sz w:val="30"/>
          <w:szCs w:val="30"/>
        </w:rPr>
        <w:t>学号：</w:t>
      </w:r>
      <w:r w:rsidRPr="00767B4D">
        <w:rPr>
          <w:rFonts w:ascii="Times New Roman" w:hAnsi="Times New Roman" w:cs="Times New Roman"/>
          <w:sz w:val="30"/>
          <w:szCs w:val="30"/>
        </w:rPr>
        <w:t>2023040615</w:t>
      </w:r>
      <w:r w:rsidRPr="00767B4D">
        <w:rPr>
          <w:rFonts w:ascii="Times New Roman" w:hAnsi="Times New Roman" w:cs="Times New Roman"/>
          <w:sz w:val="30"/>
          <w:szCs w:val="30"/>
        </w:rPr>
        <w:t>姓名：高兴</w:t>
      </w:r>
    </w:p>
    <w:p w14:paraId="2E6C41C7" w14:textId="77777777" w:rsidR="00FC514C" w:rsidRPr="00767B4D" w:rsidRDefault="00FC514C" w:rsidP="00FC514C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wordWrap w:val="0"/>
        <w:spacing w:line="700" w:lineRule="exact"/>
        <w:ind w:firstLineChars="472" w:firstLine="1416"/>
        <w:rPr>
          <w:rFonts w:ascii="Times New Roman" w:hAnsi="Times New Roman" w:cs="Times New Roman"/>
          <w:sz w:val="30"/>
          <w:szCs w:val="30"/>
        </w:rPr>
      </w:pPr>
      <w:r w:rsidRPr="00767B4D">
        <w:rPr>
          <w:rFonts w:ascii="Times New Roman" w:hAnsi="Times New Roman" w:cs="Times New Roman"/>
          <w:sz w:val="30"/>
          <w:szCs w:val="30"/>
        </w:rPr>
        <w:t xml:space="preserve">3 </w:t>
      </w:r>
      <w:r w:rsidRPr="00767B4D">
        <w:rPr>
          <w:rFonts w:ascii="Times New Roman" w:hAnsi="Times New Roman" w:cs="Times New Roman"/>
          <w:sz w:val="30"/>
          <w:szCs w:val="30"/>
        </w:rPr>
        <w:t>班级：</w:t>
      </w:r>
      <w:r w:rsidRPr="00767B4D">
        <w:rPr>
          <w:rFonts w:ascii="Times New Roman" w:hAnsi="Times New Roman" w:cs="Times New Roman"/>
          <w:sz w:val="30"/>
          <w:szCs w:val="30"/>
        </w:rPr>
        <w:t>20230461</w:t>
      </w:r>
      <w:r w:rsidRPr="00767B4D">
        <w:rPr>
          <w:rFonts w:ascii="Times New Roman" w:hAnsi="Times New Roman" w:cs="Times New Roman"/>
          <w:sz w:val="30"/>
          <w:szCs w:val="30"/>
        </w:rPr>
        <w:t>学号：</w:t>
      </w:r>
      <w:r w:rsidRPr="00767B4D">
        <w:rPr>
          <w:rFonts w:ascii="Times New Roman" w:hAnsi="Times New Roman" w:cs="Times New Roman"/>
          <w:sz w:val="30"/>
          <w:szCs w:val="30"/>
        </w:rPr>
        <w:t>2023040506</w:t>
      </w:r>
      <w:r w:rsidRPr="00767B4D">
        <w:rPr>
          <w:rFonts w:ascii="Times New Roman" w:hAnsi="Times New Roman" w:cs="Times New Roman"/>
          <w:sz w:val="30"/>
          <w:szCs w:val="30"/>
        </w:rPr>
        <w:t>姓名：钟隆昌</w:t>
      </w:r>
    </w:p>
    <w:p w14:paraId="0A2436DA" w14:textId="77777777" w:rsidR="00FC514C" w:rsidRPr="00767B4D" w:rsidRDefault="00FC514C" w:rsidP="00FC514C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wordWrap w:val="0"/>
        <w:spacing w:line="700" w:lineRule="exact"/>
        <w:ind w:firstLineChars="472" w:firstLine="1416"/>
        <w:rPr>
          <w:rFonts w:ascii="Times New Roman" w:hAnsi="Times New Roman" w:cs="Times New Roman"/>
          <w:sz w:val="30"/>
          <w:szCs w:val="30"/>
        </w:rPr>
      </w:pPr>
      <w:r w:rsidRPr="00767B4D">
        <w:rPr>
          <w:rFonts w:ascii="Times New Roman" w:hAnsi="Times New Roman" w:cs="Times New Roman"/>
          <w:sz w:val="30"/>
          <w:szCs w:val="30"/>
        </w:rPr>
        <w:t xml:space="preserve">4 </w:t>
      </w:r>
      <w:r w:rsidRPr="00767B4D">
        <w:rPr>
          <w:rFonts w:ascii="Times New Roman" w:hAnsi="Times New Roman" w:cs="Times New Roman"/>
          <w:sz w:val="30"/>
          <w:szCs w:val="30"/>
        </w:rPr>
        <w:t>班级：</w:t>
      </w:r>
      <w:r w:rsidRPr="00767B4D">
        <w:rPr>
          <w:rFonts w:ascii="Times New Roman" w:hAnsi="Times New Roman" w:cs="Times New Roman"/>
          <w:sz w:val="30"/>
          <w:szCs w:val="30"/>
        </w:rPr>
        <w:t>20230461</w:t>
      </w:r>
      <w:r w:rsidRPr="00767B4D">
        <w:rPr>
          <w:rFonts w:ascii="Times New Roman" w:hAnsi="Times New Roman" w:cs="Times New Roman"/>
          <w:sz w:val="30"/>
          <w:szCs w:val="30"/>
        </w:rPr>
        <w:t>学号：</w:t>
      </w:r>
      <w:r w:rsidRPr="00767B4D">
        <w:rPr>
          <w:rFonts w:ascii="Times New Roman" w:hAnsi="Times New Roman" w:cs="Times New Roman"/>
          <w:sz w:val="30"/>
          <w:szCs w:val="30"/>
        </w:rPr>
        <w:t>2023040809</w:t>
      </w:r>
      <w:r w:rsidRPr="00767B4D">
        <w:rPr>
          <w:rFonts w:ascii="Times New Roman" w:hAnsi="Times New Roman" w:cs="Times New Roman"/>
          <w:sz w:val="30"/>
          <w:szCs w:val="30"/>
        </w:rPr>
        <w:t>姓名：陈佳谊</w:t>
      </w:r>
      <w:r w:rsidRPr="00767B4D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A590E95" w14:textId="77777777" w:rsidR="00FC514C" w:rsidRPr="00767B4D" w:rsidRDefault="00FC514C" w:rsidP="00FC514C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wordWrap w:val="0"/>
        <w:spacing w:line="700" w:lineRule="exact"/>
        <w:ind w:firstLineChars="472" w:firstLine="1416"/>
        <w:rPr>
          <w:rFonts w:ascii="Times New Roman" w:hAnsi="Times New Roman" w:cs="Times New Roman"/>
          <w:sz w:val="30"/>
          <w:szCs w:val="30"/>
        </w:rPr>
      </w:pPr>
      <w:r w:rsidRPr="00767B4D">
        <w:rPr>
          <w:rFonts w:ascii="Times New Roman" w:hAnsi="Times New Roman" w:cs="Times New Roman"/>
          <w:sz w:val="30"/>
          <w:szCs w:val="30"/>
        </w:rPr>
        <w:t xml:space="preserve">5 </w:t>
      </w:r>
      <w:r w:rsidRPr="00767B4D">
        <w:rPr>
          <w:rFonts w:ascii="Times New Roman" w:hAnsi="Times New Roman" w:cs="Times New Roman"/>
          <w:sz w:val="30"/>
          <w:szCs w:val="30"/>
        </w:rPr>
        <w:t>班级：</w:t>
      </w:r>
      <w:r w:rsidRPr="00767B4D">
        <w:rPr>
          <w:rFonts w:ascii="Times New Roman" w:hAnsi="Times New Roman" w:cs="Times New Roman"/>
          <w:sz w:val="30"/>
          <w:szCs w:val="30"/>
        </w:rPr>
        <w:t>20230461</w:t>
      </w:r>
      <w:r w:rsidRPr="00767B4D">
        <w:rPr>
          <w:rFonts w:ascii="Times New Roman" w:hAnsi="Times New Roman" w:cs="Times New Roman"/>
          <w:sz w:val="30"/>
          <w:szCs w:val="30"/>
        </w:rPr>
        <w:t>学号：</w:t>
      </w:r>
      <w:r w:rsidRPr="00767B4D">
        <w:rPr>
          <w:rFonts w:ascii="Times New Roman" w:hAnsi="Times New Roman" w:cs="Times New Roman"/>
          <w:sz w:val="30"/>
          <w:szCs w:val="30"/>
        </w:rPr>
        <w:t>2023040427</w:t>
      </w:r>
      <w:r w:rsidRPr="00767B4D">
        <w:rPr>
          <w:rFonts w:ascii="Times New Roman" w:hAnsi="Times New Roman" w:cs="Times New Roman"/>
          <w:sz w:val="30"/>
          <w:szCs w:val="30"/>
        </w:rPr>
        <w:t>姓名：钱浩然</w:t>
      </w:r>
    </w:p>
    <w:p w14:paraId="72D49A81" w14:textId="77777777" w:rsidR="00CD329B" w:rsidRPr="00FC514C" w:rsidRDefault="00CD329B">
      <w:pPr>
        <w:widowControl/>
        <w:jc w:val="center"/>
        <w:rPr>
          <w:rFonts w:ascii="宋体" w:eastAsia="宋体" w:hAnsi="宋体" w:cs="宋体"/>
          <w:color w:val="000000"/>
          <w:kern w:val="0"/>
          <w:sz w:val="36"/>
          <w:szCs w:val="36"/>
        </w:rPr>
      </w:pPr>
    </w:p>
    <w:p w14:paraId="61383DFF" w14:textId="77777777" w:rsidR="00CD329B" w:rsidRDefault="00CD329B">
      <w:pPr>
        <w:widowControl/>
        <w:jc w:val="center"/>
        <w:rPr>
          <w:rFonts w:ascii="宋体" w:eastAsia="宋体" w:hAnsi="宋体" w:cs="宋体"/>
          <w:color w:val="000000"/>
          <w:kern w:val="0"/>
          <w:sz w:val="36"/>
          <w:szCs w:val="36"/>
        </w:rPr>
      </w:pPr>
    </w:p>
    <w:p w14:paraId="45AF58A5" w14:textId="77777777" w:rsidR="00CD329B" w:rsidRDefault="00CD329B">
      <w:pPr>
        <w:widowControl/>
        <w:jc w:val="center"/>
        <w:rPr>
          <w:rFonts w:ascii="宋体" w:eastAsia="宋体" w:hAnsi="宋体" w:cs="宋体"/>
          <w:color w:val="000000"/>
          <w:kern w:val="0"/>
          <w:sz w:val="36"/>
          <w:szCs w:val="36"/>
        </w:rPr>
      </w:pPr>
    </w:p>
    <w:p w14:paraId="72E89931" w14:textId="77777777" w:rsidR="00CD329B" w:rsidRDefault="00CD329B">
      <w:pPr>
        <w:widowControl/>
        <w:jc w:val="center"/>
        <w:rPr>
          <w:rFonts w:ascii="宋体" w:eastAsia="宋体" w:hAnsi="宋体" w:cs="宋体"/>
          <w:color w:val="000000"/>
          <w:kern w:val="0"/>
          <w:sz w:val="36"/>
          <w:szCs w:val="36"/>
        </w:rPr>
      </w:pPr>
    </w:p>
    <w:p w14:paraId="7209559D" w14:textId="624D3FE2" w:rsidR="00CD329B" w:rsidRDefault="00000000" w:rsidP="00E865FE">
      <w:pPr>
        <w:pStyle w:val="af2"/>
        <w:widowControl/>
        <w:numPr>
          <w:ilvl w:val="0"/>
          <w:numId w:val="4"/>
        </w:numPr>
        <w:jc w:val="center"/>
        <w:rPr>
          <w:rFonts w:hint="eastAsia"/>
        </w:rPr>
      </w:pPr>
      <w:r w:rsidRPr="00FC514C">
        <w:rPr>
          <w:rFonts w:ascii="宋体" w:eastAsia="宋体" w:hAnsi="宋体" w:cs="宋体" w:hint="eastAsia"/>
          <w:color w:val="000000"/>
          <w:kern w:val="0"/>
          <w:sz w:val="36"/>
          <w:szCs w:val="36"/>
        </w:rPr>
        <w:t>年 4月</w:t>
      </w:r>
    </w:p>
    <w:p w14:paraId="6B2661CB" w14:textId="4E22AC50" w:rsidR="00CD329B" w:rsidRPr="00FC514C" w:rsidRDefault="00FC514C" w:rsidP="00FC514C">
      <w:pPr>
        <w:jc w:val="center"/>
        <w:rPr>
          <w:rFonts w:ascii="宋体" w:eastAsia="宋体" w:hAnsi="宋体" w:cs="宋体"/>
          <w:b/>
          <w:bCs/>
          <w:sz w:val="24"/>
        </w:rPr>
      </w:pPr>
      <w:r w:rsidRPr="00FC514C">
        <w:rPr>
          <w:rFonts w:hint="eastAsia"/>
          <w:b/>
          <w:bCs/>
          <w:sz w:val="30"/>
          <w:szCs w:val="30"/>
        </w:rPr>
        <w:lastRenderedPageBreak/>
        <w:t>一、案例概述</w:t>
      </w:r>
    </w:p>
    <w:p w14:paraId="3A828908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H市低空综合飞行基建项目是H市政府为推动</w:t>
      </w:r>
      <w:proofErr w:type="gramStart"/>
      <w:r>
        <w:rPr>
          <w:rFonts w:ascii="宋体" w:eastAsia="宋体" w:hAnsi="宋体" w:cs="宋体" w:hint="eastAsia"/>
          <w:sz w:val="24"/>
        </w:rPr>
        <w:t>低空经济</w:t>
      </w:r>
      <w:proofErr w:type="gramEnd"/>
      <w:r>
        <w:rPr>
          <w:rFonts w:ascii="宋体" w:eastAsia="宋体" w:hAnsi="宋体" w:cs="宋体" w:hint="eastAsia"/>
          <w:sz w:val="24"/>
        </w:rPr>
        <w:t>发展、提升城市现代化水平而规划的重要基础设施建设项目。该项目的核心目标是打造完整的低空飞行生态系统，通过建立高效、智能、安全的低空交通网络，促进低空经济的快速发展，并推动城市产业升级。</w:t>
      </w:r>
    </w:p>
    <w:p w14:paraId="3CCFBB1E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项目主要涉及低空航线规划、地面基础设施建设、智能空域管理系统的搭建以及相关法规的制定等方面。低空经济的应用场景广泛，包括无人机物流配送、低空观光旅游、空中出租车、紧急救援、环境监测等，能够极大提高城市交通效率，降低物流运输成本，并为市民提供全新的出行方式。</w:t>
      </w:r>
    </w:p>
    <w:p w14:paraId="084A451E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经济评价方面，项目采用了财务评价和国民经济评价两种方式。财务评价主要分析了项目的投资回报率、净现值、内部收益率等关键指标，衡量其盈利能力和投资可行性。国民经济评价则侧重于项目对区域经济的贡献，包括产业带动效应、就业促进效应、科技创新推动作用等。通过这两类分析，初步结果表明该项目在经济效益和社会效益方面具有较高的可行性。</w:t>
      </w:r>
    </w:p>
    <w:p w14:paraId="244A53DC" w14:textId="60B1A348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除了传统的财务分析，本项目还进行了敏感性分析，以评估市场变化、政策调整、技术进步等因素对项目经济效益的影响。例如，低空飞行法规的不确定性可能影响行业发展速度，而新能源技术的发展则可能降低运营成本，提高经济可行性。因此，项目在制定实施方案时，需要充分考虑这些不确定因素，合理调整投资策略，降低潜在风险。</w:t>
      </w:r>
    </w:p>
    <w:p w14:paraId="527FEF18" w14:textId="01303390" w:rsidR="00CD329B" w:rsidRDefault="00FC514C">
      <w:pPr>
        <w:spacing w:line="288" w:lineRule="auto"/>
        <w:ind w:firstLineChars="200" w:firstLine="420"/>
        <w:rPr>
          <w:rFonts w:ascii="宋体" w:eastAsia="宋体" w:hAnsi="宋体" w:cs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36DCE0" wp14:editId="106344DA">
                <wp:simplePos x="0" y="0"/>
                <wp:positionH relativeFrom="column">
                  <wp:posOffset>2324100</wp:posOffset>
                </wp:positionH>
                <wp:positionV relativeFrom="paragraph">
                  <wp:posOffset>1551305</wp:posOffset>
                </wp:positionV>
                <wp:extent cx="2743200" cy="278765"/>
                <wp:effectExtent l="0" t="0" r="0" b="6985"/>
                <wp:wrapSquare wrapText="bothSides"/>
                <wp:docPr id="11983792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787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018AD" w14:textId="55AEC642" w:rsidR="00FC514C" w:rsidRPr="003D1487" w:rsidRDefault="00FC514C" w:rsidP="00FC514C">
                            <w:pPr>
                              <w:pStyle w:val="a3"/>
                              <w:rPr>
                                <w:rFonts w:ascii="宋体" w:eastAsia="宋体" w:hAnsi="宋体" w:cs="宋体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37417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低空经济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发展示意图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6DCE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83pt;margin-top:122.15pt;width:3in;height:2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" stroked="f">
                <v:textbox inset="0,0,0,0">
                  <w:txbxContent>
                    <w:p w14:paraId="07C018AD" w14:textId="55AEC642" w:rsidR="00FC514C" w:rsidRPr="003D1487" w:rsidRDefault="00FC514C" w:rsidP="00FC514C">
                      <w:pPr>
                        <w:pStyle w:val="a3"/>
                        <w:rPr>
                          <w:rFonts w:ascii="宋体" w:eastAsia="宋体" w:hAnsi="宋体" w:cs="宋体"/>
                          <w:noProof/>
                          <w:sz w:val="24"/>
                        </w:rPr>
                      </w:pPr>
                      <w:r>
                        <w:rPr>
                          <w:rFonts w:hint="eastAsia"/>
                        </w:rPr>
                        <w:t>图表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图表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37417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:</w:t>
                      </w:r>
                      <w:proofErr w:type="gramStart"/>
                      <w:r>
                        <w:rPr>
                          <w:rFonts w:hint="eastAsia"/>
                        </w:rPr>
                        <w:t>低空经济</w:t>
                      </w:r>
                      <w:proofErr w:type="gramEnd"/>
                      <w:r>
                        <w:rPr>
                          <w:rFonts w:hint="eastAsia"/>
                        </w:rPr>
                        <w:t>发展示意图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/>
          <w:noProof/>
          <w:sz w:val="24"/>
        </w:rPr>
        <w:drawing>
          <wp:anchor distT="0" distB="0" distL="114935" distR="114935" simplePos="0" relativeHeight="251658240" behindDoc="0" locked="0" layoutInCell="1" allowOverlap="1" wp14:anchorId="015A3EF7" wp14:editId="5251AFE6">
            <wp:simplePos x="0" y="0"/>
            <wp:positionH relativeFrom="column">
              <wp:posOffset>2352675</wp:posOffset>
            </wp:positionH>
            <wp:positionV relativeFrom="paragraph">
              <wp:posOffset>23495</wp:posOffset>
            </wp:positionV>
            <wp:extent cx="2914015" cy="1550035"/>
            <wp:effectExtent l="0" t="0" r="6985" b="12065"/>
            <wp:wrapSquare wrapText="left"/>
            <wp:docPr id="1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550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sz w:val="24"/>
        </w:rPr>
        <w:t>从产业角度来看，H市低空综合飞行基建项目不仅是一个基础设施建设工程，更是一个推动新兴科技产业发展的重要载体。项目的实施有望带动无人机制造、智能交通管理、5G通信、人工智能、大数据分析等多个行业的协同发展，形成完整的低空经济产业链。政府可以通过政策扶持、财政补贴、产业联盟等方式，促进相关企业的发展，推动H市成为全国低空经济的示范城市。</w:t>
      </w:r>
    </w:p>
    <w:p w14:paraId="11045333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此外，该项目也具有显著的社会价值。低空物流系统的建设将极大提高物流配送效率，减少地面交通压力，同时有助于改善偏远地区的物资供应。低空飞行还可以应用于医疗急救、灾害救援等领域，为社会公共服务提供有力支持。智能空域管理系统的建立，则有助于提高低空飞行的安全性，确保无人机与有人机的协调运行，减少空中交通事故的发生。</w:t>
      </w:r>
    </w:p>
    <w:p w14:paraId="6DF87915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然而，项目的实施也面临一定的挑战和问题。例如，低空飞行的安全监管尚不完善，现有法律法规仍需进一步优化，以适应快速发展的低空经济需求。此外，</w:t>
      </w:r>
      <w:r>
        <w:rPr>
          <w:rFonts w:ascii="宋体" w:eastAsia="宋体" w:hAnsi="宋体" w:cs="宋体" w:hint="eastAsia"/>
          <w:sz w:val="24"/>
        </w:rPr>
        <w:lastRenderedPageBreak/>
        <w:t>低空基础设施的建设需要较大资金投入，如何在政府投资和市场化运作之间找到平衡点，是项目能否成功落地的关键。</w:t>
      </w:r>
    </w:p>
    <w:p w14:paraId="704A0540" w14:textId="77777777" w:rsidR="00CD329B" w:rsidRPr="00FC514C" w:rsidRDefault="00000000">
      <w:pPr>
        <w:numPr>
          <w:ilvl w:val="0"/>
          <w:numId w:val="2"/>
        </w:numPr>
        <w:spacing w:line="288" w:lineRule="auto"/>
        <w:jc w:val="center"/>
        <w:rPr>
          <w:rFonts w:ascii="宋体" w:eastAsia="宋体" w:hAnsi="宋体" w:cs="宋体"/>
          <w:b/>
          <w:bCs/>
          <w:sz w:val="30"/>
          <w:szCs w:val="30"/>
        </w:rPr>
      </w:pPr>
      <w:r w:rsidRPr="00FC514C">
        <w:rPr>
          <w:rFonts w:ascii="宋体" w:eastAsia="宋体" w:hAnsi="宋体" w:cs="宋体"/>
          <w:b/>
          <w:bCs/>
          <w:sz w:val="30"/>
          <w:szCs w:val="30"/>
        </w:rPr>
        <w:t>案例问题解答</w:t>
      </w:r>
    </w:p>
    <w:p w14:paraId="62B8545F" w14:textId="77777777" w:rsidR="00CD329B" w:rsidRDefault="00000000">
      <w:pPr>
        <w:spacing w:line="288" w:lineRule="auto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第一题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b/>
          <w:bCs/>
          <w:sz w:val="24"/>
        </w:rPr>
        <w:t>项目经济性分析</w:t>
      </w:r>
    </w:p>
    <w:p w14:paraId="54899E8C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1.1净现值(NPV)分析</w:t>
      </w:r>
    </w:p>
    <w:p w14:paraId="3E943920" w14:textId="07E6ED4E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 Excel 中使用NPV函数计算，NPV函数语法为NPV(rate, value1, [value2,...])，其中rate是折现率，value1, value2,...是各期的现金流量。在本项目中，折现率i = 10%，所得税后净现金流量数据在相应单元格(C12:P12)。在 Excel中输入公式=NPV(0.1,A4:A17)+C12(建设期第一年数据在C12单元格)，计算得出项目的净现值。</w:t>
      </w:r>
    </w:p>
    <w:p w14:paraId="5760596A" w14:textId="6F1B5DB5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4C488A73" wp14:editId="6388E09E">
            <wp:extent cx="5274310" cy="27622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1AB7" w14:textId="77777777" w:rsidR="00CD329B" w:rsidRDefault="00000000">
      <w:pPr>
        <w:pStyle w:val="a3"/>
        <w:spacing w:line="288" w:lineRule="auto"/>
        <w:ind w:firstLineChars="200" w:firstLine="400"/>
        <w:jc w:val="center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rPr>
          <w:rFonts w:hint="eastAsia"/>
        </w:rPr>
        <w:t>2-</w:t>
      </w:r>
      <w:r>
        <w:rPr>
          <w:rFonts w:hint="eastAsia"/>
        </w:rPr>
        <w:t>净现值分析计算数据</w:t>
      </w:r>
    </w:p>
    <w:p w14:paraId="5D34A4D6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52F591DE" wp14:editId="3F3A9875">
            <wp:extent cx="3038475" cy="7524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073" cy="7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9516" w14:textId="4E66FAA0" w:rsidR="00CD329B" w:rsidRDefault="00000000">
      <w:pPr>
        <w:pStyle w:val="a3"/>
        <w:spacing w:line="288" w:lineRule="auto"/>
        <w:ind w:firstLineChars="200" w:firstLine="400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1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净现值分析计算数据</w:t>
      </w:r>
    </w:p>
    <w:p w14:paraId="0FF843B0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计算结果为正数，表明项目在经济上可行，能为投资者带来超过基准收益率的收益。</w:t>
      </w:r>
    </w:p>
    <w:p w14:paraId="4249707C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1.2内部收益率(IRR)分析</w:t>
      </w:r>
    </w:p>
    <w:p w14:paraId="166D0BB5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使用IRR函数计算，语法为IRR(values, [guess])，values是包含各期现金流量的单元格区域，guess为对内部收益率的猜测值（可省略）。在本项目中，选中包含所得税后净现金流量的单元格区域（C12:P12），输入公式=IRR(C12:P12)，计算得出内部收益率。</w:t>
      </w:r>
    </w:p>
    <w:p w14:paraId="7066DD3E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6FC61C60" wp14:editId="61087E8E">
            <wp:extent cx="5274310" cy="27241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8018" w14:textId="3C7623A3" w:rsidR="00CD329B" w:rsidRDefault="00000000">
      <w:pPr>
        <w:pStyle w:val="a3"/>
        <w:spacing w:line="288" w:lineRule="auto"/>
        <w:ind w:firstLineChars="200" w:firstLine="400"/>
        <w:jc w:val="center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2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内部收益率分析计算数据</w:t>
      </w:r>
    </w:p>
    <w:p w14:paraId="5338FA33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6B2F6391" wp14:editId="3B9DC4F8">
            <wp:extent cx="2057400" cy="87763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9397" cy="8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5C6E" w14:textId="276814E6" w:rsidR="00CD329B" w:rsidRDefault="00000000">
      <w:pPr>
        <w:pStyle w:val="a3"/>
        <w:spacing w:line="288" w:lineRule="auto"/>
        <w:ind w:firstLineChars="200" w:firstLine="400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内部收益率分析计算数据</w:t>
      </w:r>
    </w:p>
    <w:p w14:paraId="6C5DC2FF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内部收益率大于基准收益率 10%，说明项目盈利能力较强，在经济上可行。</w:t>
      </w:r>
    </w:p>
    <w:p w14:paraId="640EA513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1.3投资回收期分析</w:t>
      </w:r>
    </w:p>
    <w:p w14:paraId="20DFAE3C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投资回收期可通过累计净现金流量计算。投资回收期是指项目从投资开始（建设期）到收回全部投资所需的时间，分为静态回收期（不考虑时间价值）和动态回收期（考虑折现）。</w:t>
      </w:r>
    </w:p>
    <w:p w14:paraId="402BEF97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 Excel 中，先计算各期的累计所得税后净现金流量，再通过查找函数找到累计净现金流量首次大于等于 0 的年份。假设累计净现金流量在 B 列（B1 为第一年累计值），在 Excel 中可使用公式=MATCH(TRUE,B1:B14&gt;=0,0)确定投资回收期的整数年份。</w:t>
      </w:r>
    </w:p>
    <w:p w14:paraId="70934BBE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1C249F8F" wp14:editId="38860ACE">
            <wp:extent cx="5274310" cy="23622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BAB2" w14:textId="74D51B79" w:rsidR="00CD329B" w:rsidRDefault="00000000">
      <w:pPr>
        <w:pStyle w:val="a3"/>
        <w:spacing w:line="288" w:lineRule="auto"/>
        <w:ind w:firstLineChars="200" w:firstLine="400"/>
        <w:jc w:val="center"/>
        <w:rPr>
          <w:rFonts w:ascii="宋体" w:eastAsiaTheme="minorEastAsia" w:hAnsi="宋体" w:cs="宋体"/>
          <w:sz w:val="24"/>
        </w:rPr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4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投资回收期分析计算数据</w:t>
      </w:r>
    </w:p>
    <w:p w14:paraId="3880367A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投资回收期的整数年份为5。</w:t>
      </w:r>
    </w:p>
    <w:p w14:paraId="29B6AACE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1.4再计算精确的投资回收期。</w:t>
      </w:r>
    </w:p>
    <w:p w14:paraId="5FC37B6C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第4年累计净现金流量绝对值为108.0402，第5年净现金流量为110.3063，则投资回收期小数部分为108.0402/110.3063。</w:t>
      </w:r>
    </w:p>
    <w:p w14:paraId="6962CF39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在Excel中输入公式=(-F14)/ G12</w:t>
      </w:r>
    </w:p>
    <w:p w14:paraId="0EB4BA9E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4CE00080" wp14:editId="4571DBC5">
            <wp:extent cx="5274310" cy="22987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EB02" w14:textId="269CCAF6" w:rsidR="00CD329B" w:rsidRDefault="00000000">
      <w:pPr>
        <w:pStyle w:val="a3"/>
        <w:spacing w:line="288" w:lineRule="auto"/>
        <w:ind w:firstLineChars="200" w:firstLine="400"/>
        <w:jc w:val="center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5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再计算精确的投资回收期计算数据</w:t>
      </w:r>
    </w:p>
    <w:p w14:paraId="1BAF7AA1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得到小数部分约为0.98</w:t>
      </w:r>
    </w:p>
    <w:p w14:paraId="3600303B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精确投资回收期 = 整数年份 - 1 + 小数部分。计算出整数年份为第5年，精确投资回收期为5 - 1 + 0.98= 4.98年。</w:t>
      </w:r>
    </w:p>
    <w:p w14:paraId="404714AF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投资回收期小于基准投资回收期 10 年，表明项目投资回收较快，在经济上可行。</w:t>
      </w:r>
    </w:p>
    <w:p w14:paraId="01F161D5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1.5投资收益率(ROI)分析</w:t>
      </w:r>
    </w:p>
    <w:p w14:paraId="2442DD35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投资收益率是衡量项目投资盈利能力的重要指标，它反映了项目在正常生产年份的净收益与投资总额的比率。公式为：R=NB/K</w:t>
      </w:r>
    </w:p>
    <w:p w14:paraId="342CEFE8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因为考虑达到设计能力后，所以税后利润应该从运营期开始考虑。</w:t>
      </w:r>
    </w:p>
    <w:p w14:paraId="3AFC63DC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考虑平均后的三个月的利润/总投资，即为收益率。</w:t>
      </w:r>
    </w:p>
    <w:p w14:paraId="7F8FBAD2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先计算正常经营的利润：</w:t>
      </w:r>
    </w:p>
    <w:p w14:paraId="47FF0A91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715FB3B3" wp14:editId="2ADB23C8">
            <wp:extent cx="5274310" cy="18923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3551" w14:textId="4C124E27" w:rsidR="00CD329B" w:rsidRDefault="00000000">
      <w:pPr>
        <w:pStyle w:val="a3"/>
        <w:spacing w:line="288" w:lineRule="auto"/>
        <w:ind w:firstLineChars="200" w:firstLine="400"/>
        <w:jc w:val="center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6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投资收益率</w:t>
      </w:r>
      <w:r>
        <w:rPr>
          <w:rFonts w:hint="eastAsia"/>
        </w:rPr>
        <w:t>(ROI)</w:t>
      </w:r>
      <w:r>
        <w:rPr>
          <w:rFonts w:hint="eastAsia"/>
        </w:rPr>
        <w:t>分析计算数据</w:t>
      </w:r>
    </w:p>
    <w:p w14:paraId="601B39B1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再除以总投资，即可得到投资收益率。</w:t>
      </w:r>
    </w:p>
    <w:p w14:paraId="0F813044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0" distR="0" wp14:anchorId="180A93B3" wp14:editId="6DD8C41C">
            <wp:extent cx="5274310" cy="23495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68EF" w14:textId="04ADB46B" w:rsidR="00CD329B" w:rsidRDefault="00000000">
      <w:pPr>
        <w:pStyle w:val="a3"/>
        <w:spacing w:line="288" w:lineRule="auto"/>
        <w:ind w:firstLineChars="200" w:firstLine="400"/>
        <w:jc w:val="center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7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投资收益率</w:t>
      </w:r>
      <w:r>
        <w:rPr>
          <w:rFonts w:hint="eastAsia"/>
        </w:rPr>
        <w:t>(ROI)</w:t>
      </w:r>
      <w:r>
        <w:rPr>
          <w:rFonts w:hint="eastAsia"/>
        </w:rPr>
        <w:t>分析计算数据</w:t>
      </w:r>
    </w:p>
    <w:p w14:paraId="3837768F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为38.35%</w:t>
      </w:r>
    </w:p>
    <w:p w14:paraId="42CC2EB4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因为基准投资收益率为10%，收益率大于10%，所以盈利能力突出。</w:t>
      </w:r>
    </w:p>
    <w:p w14:paraId="2E2898AB" w14:textId="77777777" w:rsidR="00CD329B" w:rsidRDefault="00000000">
      <w:pPr>
        <w:spacing w:line="288" w:lineRule="auto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第二题 经济敏感性分析</w:t>
      </w:r>
    </w:p>
    <w:p w14:paraId="66759376" w14:textId="77777777" w:rsidR="00CD329B" w:rsidRDefault="00000000">
      <w:pPr>
        <w:pStyle w:val="af2"/>
        <w:spacing w:line="288" w:lineRule="auto"/>
        <w:ind w:left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2.1</w:t>
      </w:r>
      <w:r>
        <w:rPr>
          <w:rFonts w:ascii="Times New Roman" w:eastAsia="宋体" w:hAnsi="Times New Roman" w:hint="eastAsia"/>
          <w:sz w:val="24"/>
        </w:rPr>
        <w:t>敏感性分析图绘制</w:t>
      </w:r>
    </w:p>
    <w:p w14:paraId="47A710AD" w14:textId="77777777" w:rsidR="00CD329B" w:rsidRDefault="00000000">
      <w:pPr>
        <w:pStyle w:val="af2"/>
        <w:spacing w:line="288" w:lineRule="auto"/>
        <w:ind w:left="0"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绘图数据</w:t>
      </w:r>
    </w:p>
    <w:p w14:paraId="6F378B85" w14:textId="77777777" w:rsidR="00CD329B" w:rsidRDefault="00000000">
      <w:pPr>
        <w:pStyle w:val="af2"/>
        <w:ind w:left="0"/>
      </w:pPr>
      <w:r>
        <w:rPr>
          <w:noProof/>
        </w:rPr>
        <w:drawing>
          <wp:inline distT="0" distB="0" distL="114300" distR="114300" wp14:anchorId="35FA1415" wp14:editId="55E13F6C">
            <wp:extent cx="5271770" cy="798195"/>
            <wp:effectExtent l="0" t="0" r="1143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62E1" w14:textId="70E50DE4" w:rsidR="00CD329B" w:rsidRDefault="00000000">
      <w:pPr>
        <w:pStyle w:val="a3"/>
        <w:jc w:val="center"/>
        <w:rPr>
          <w:rFonts w:eastAsiaTheme="minor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8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经济敏感性分析数据</w:t>
      </w:r>
    </w:p>
    <w:p w14:paraId="610E2B6D" w14:textId="77777777" w:rsidR="00CD329B" w:rsidRDefault="00000000">
      <w:pPr>
        <w:pStyle w:val="af2"/>
        <w:ind w:left="0"/>
      </w:pPr>
      <w:r>
        <w:rPr>
          <w:noProof/>
        </w:rPr>
        <w:drawing>
          <wp:inline distT="0" distB="0" distL="114300" distR="114300" wp14:anchorId="3D4AEB40" wp14:editId="7E2FC7FE">
            <wp:extent cx="2759710" cy="1208405"/>
            <wp:effectExtent l="0" t="0" r="8890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DEB1" w14:textId="778FC7FE" w:rsidR="00CD329B" w:rsidRDefault="00000000">
      <w:pPr>
        <w:pStyle w:val="a3"/>
        <w:ind w:firstLineChars="400" w:firstLine="800"/>
        <w:jc w:val="left"/>
        <w:rPr>
          <w:rFonts w:eastAsiaTheme="minor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9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经济敏感性分析数据</w:t>
      </w:r>
    </w:p>
    <w:p w14:paraId="0B00344D" w14:textId="77777777" w:rsidR="00CD329B" w:rsidRDefault="00000000">
      <w:pPr>
        <w:pStyle w:val="af2"/>
        <w:spacing w:line="288" w:lineRule="auto"/>
        <w:ind w:left="0"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以变化幅度为横坐标，内部收益率（IRR）为纵坐标。</w:t>
      </w:r>
    </w:p>
    <w:p w14:paraId="21E3152A" w14:textId="77777777" w:rsidR="00CD329B" w:rsidRDefault="00000000">
      <w:pPr>
        <w:spacing w:line="288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0A186200" wp14:editId="64743DE4">
            <wp:extent cx="4826000" cy="2743200"/>
            <wp:effectExtent l="4445" t="4445" r="8255" b="8255"/>
            <wp:docPr id="11" name="图表 11" descr="7b0a202020202263686172745265734964223a20223230343736343331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FAF9FA9" w14:textId="15449836" w:rsidR="00CD329B" w:rsidRDefault="00000000">
      <w:pPr>
        <w:pStyle w:val="a3"/>
        <w:spacing w:line="288" w:lineRule="auto"/>
        <w:jc w:val="center"/>
        <w:rPr>
          <w:rFonts w:ascii="宋体" w:eastAsiaTheme="minorEastAsia" w:hAnsi="宋体" w:cs="宋体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37417A">
        <w:rPr>
          <w:noProof/>
        </w:rPr>
        <w:t>10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t>经济敏感性分析图</w:t>
      </w:r>
    </w:p>
    <w:p w14:paraId="2F8CE119" w14:textId="77777777" w:rsidR="00CD329B" w:rsidRDefault="00000000">
      <w:pPr>
        <w:pStyle w:val="af2"/>
        <w:spacing w:line="288" w:lineRule="auto"/>
        <w:ind w:left="0" w:firstLineChars="200" w:firstLine="48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从图中可以直观地看出，营业收入的变动对 IRR 影响最大，斜率最陡；经营成本次之；建设投资影响相对较小。这意味着营业收入是影响项目经济效益的最敏感因素，其变动会导致 IRR 较大幅度变化，经营成本和建设投资的敏感性相对较弱。</w:t>
      </w:r>
    </w:p>
    <w:p w14:paraId="4AA45998" w14:textId="77777777" w:rsidR="00CD329B" w:rsidRDefault="00000000">
      <w:pPr>
        <w:spacing w:line="288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临界点：营业收入下降约12%时，IRR=10%（基准收益率）。</w:t>
      </w:r>
    </w:p>
    <w:p w14:paraId="1E0DEA12" w14:textId="77777777" w:rsidR="00CD329B" w:rsidRDefault="00000000">
      <w:pPr>
        <w:pStyle w:val="af2"/>
        <w:ind w:left="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anchor distT="0" distB="0" distL="114935" distR="114935" simplePos="0" relativeHeight="251660288" behindDoc="1" locked="0" layoutInCell="1" allowOverlap="1" wp14:anchorId="5A772DE4" wp14:editId="3761DBA2">
            <wp:simplePos x="0" y="0"/>
            <wp:positionH relativeFrom="column">
              <wp:posOffset>3289300</wp:posOffset>
            </wp:positionH>
            <wp:positionV relativeFrom="paragraph">
              <wp:posOffset>187960</wp:posOffset>
            </wp:positionV>
            <wp:extent cx="2474595" cy="2101850"/>
            <wp:effectExtent l="0" t="0" r="1905" b="0"/>
            <wp:wrapTight wrapText="bothSides">
              <wp:wrapPolygon edited="0">
                <wp:start x="0" y="0"/>
                <wp:lineTo x="0" y="21339"/>
                <wp:lineTo x="21450" y="21339"/>
                <wp:lineTo x="21450" y="0"/>
                <wp:lineTo x="0" y="0"/>
              </wp:wrapPolygon>
            </wp:wrapTight>
            <wp:docPr id="1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l="-391" t="-538" r="52350" b="-751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sz w:val="24"/>
        </w:rPr>
        <w:t>2.2其他经济敏感性分析角度</w:t>
      </w:r>
    </w:p>
    <w:p w14:paraId="16D983D1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除案例中因素外，还能从多方面对 H 市低空综合飞行基建项目进行经济敏感性分析。市场需求波动方面，物流、旅游等领域需求变化会影响主营业务收入；原材料及设备价格变动会使建设与运营成本改变。政策法规调整上，补贴政策和税收政策变化影响项目盈利。技术变革既能带来效率提升、成本降低的机遇，也可能使现有技术设备面临淘汰风险。若项目存在债务融资，利率波动会影响利息支出和利润。</w:t>
      </w:r>
    </w:p>
    <w:p w14:paraId="31A2A325" w14:textId="77777777" w:rsidR="00CD329B" w:rsidRDefault="00CD329B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</w:p>
    <w:p w14:paraId="4759A173" w14:textId="77777777" w:rsidR="00CD329B" w:rsidRDefault="00000000">
      <w:pPr>
        <w:spacing w:line="288" w:lineRule="auto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第三题 经济效益、社会效益和生态效益分析</w:t>
      </w:r>
    </w:p>
    <w:p w14:paraId="54939EE7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H市低空综合飞行基建项目不仅是一个基础设施建设工程，更是一个推动区域经济升级、社会发展和生态可持续性的战略性项目。在经济效益、社会效益和生态效益等多个维度，该项目都展现出重要价值，但同时也面临一定的挑战和制约因素，需要在规划和实施过程中加以优化。</w:t>
      </w:r>
    </w:p>
    <w:p w14:paraId="3E43F3DC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从经济效益来看，该项目能够促进低空经济产业链的形成和完善。随着无人机物流、空中出租车、低空观光等新业态的兴起，H市的低空飞行市场将迎来巨大增长潜力。项目的实施将带动无人机制造、智能空域管理、5G通信、大数据分</w:t>
      </w:r>
      <w:r>
        <w:rPr>
          <w:rFonts w:ascii="宋体" w:eastAsia="宋体" w:hAnsi="宋体" w:cs="宋体" w:hint="eastAsia"/>
          <w:sz w:val="24"/>
        </w:rPr>
        <w:lastRenderedPageBreak/>
        <w:t>析等相关产业的发展，形成良好的产业集聚效应。特别是在科技创新方面，低空飞行的推广将推动人工智能、自动驾驶、智能调度等前沿技术的发展，从而增强H市的科技竞争力。此外，该项目还将吸引更多的资本进入低空经济领域，促进相关企业的成长和壮大，提升H市在全国乃至全球低空经济中的竞争力。</w:t>
      </w:r>
    </w:p>
    <w:p w14:paraId="4FEF26FF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从社会效益来看，低空飞行基础设施的完善能够优化城市交通体系，提高运输效率，改善居民的生活质量。例如，低空物流系统的建设可以大幅缩短快递配送时间，提高物流行业的整体运作效率，特别是在应对城市拥堵问题时具有重要作用。此外，低空飞行在应急救援和医疗运输方面的应用也十分突出，例如在突发事件发生时，无人机可以快速投送急救药品或医疗设备，提高救援效率。同时，该项目还能够创造大量新的就业岗位，包括飞行控制、空域管理、设备维护、数据分析等多个领域，为H市的居民提供更多的就业机会。通过政府的合理引导，该项目还能够促进城乡一体化发展，改善偏远地区的交通条件，使更多人享受到科技发展的红利。</w:t>
      </w:r>
    </w:p>
    <w:p w14:paraId="24B7E9F1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生态效益方面，该项目强调绿色低碳发展理念，与国家的可持续发展战略高度契合。相比传统的地面交通工具，低空飞行器，特别是新能源无人机和电动垂直起降飞行器（eVTOL），能够大幅降低碳排放，减少能源消耗。随着新能源电池和太阳能充电技术的不断进步，未来的低空飞行将更加环保，对城市空气质量的改善也具有积极作用。此外，合理的低空航线规划可以减少对自然生态环境的干扰，降低对野生动物栖息地的破坏。H市政府在项目实施过程中可以引入更加严格的环保标准，例如要求低空飞行器采用低噪音设计，减少对居民和自然环境的影响，同时建立空域环境监测系统，确保低空飞行活动符合生态可持续发展的要求。</w:t>
      </w:r>
    </w:p>
    <w:p w14:paraId="3E968C35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而，尽管该项目的经济、社会和生态效益明显，其实施仍然面临诸多挑战。首先，低空飞行监管体系尚未完全成熟，现有法律法规对无人机和空中出租车的管理仍存在一定空白，可能会影响项目的顺利推进。如何在确保安全的前提下，制定灵活、高效的低空飞行监管体系，是H市政府需要重点考虑的问题。此外，公众对于低空飞行的接受度和安全性仍存疑虑，例如无人机配送可能涉及个人隐私问题，空中出租车的安全性和定价模式也可能影响市场接受度。因此，在推进项目时，政府需要加强公众宣传和引导，提高社会对低空经济的认知度和认可度。</w:t>
      </w:r>
    </w:p>
    <w:p w14:paraId="308D95F0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资金投入和商业模式的探索也是该项目面临的另一大挑战。低空综合飞行基建项目的建设需要巨额投资，政府资金投入固然重要，但如何吸引社会资本参与，并建立合理的市场化运营模式，是决定项目成败的关键。可以考虑采取“政府引导+市场化运作”的模式，由政府提供基础设施支持，同时吸引企业投资运营特定业务领域，如低空物流、观光旅游等。此外，合理的定价机制和市场激励政策也将影响低空经济的长期发展，政府应结合市场需求和发展趋势，制定相应的财政支持和补贴政策，降低企业和消费者的使用成本，推动低空经济的快速普及。</w:t>
      </w:r>
    </w:p>
    <w:p w14:paraId="42BDD302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综合来看，H市低空综合飞行基建项目不仅是一个经济发展项目，更是一个</w:t>
      </w:r>
      <w:r>
        <w:rPr>
          <w:rFonts w:ascii="宋体" w:eastAsia="宋体" w:hAnsi="宋体" w:cs="宋体" w:hint="eastAsia"/>
          <w:sz w:val="24"/>
        </w:rPr>
        <w:lastRenderedPageBreak/>
        <w:t>关系到城市未来竞争力、居民生活质量和生态可持续性的综合性工程。通过科学的规划、有效的监管、合理的市场化机制，该项目有望成为H市未来智慧城市建设的重要组成部分，并在全国范围内起到示范引领作用。然而，项目的成功落地需要政府、企业、科研机构和社会公众的共同努力，只有在多方协同合作的基础上，才能真正发挥低空经济的潜力，实现经济、社会和生态效益的最大化。</w:t>
      </w:r>
    </w:p>
    <w:p w14:paraId="0754BDC2" w14:textId="03B8F682" w:rsidR="00CD329B" w:rsidRPr="00FC514C" w:rsidRDefault="00FC514C" w:rsidP="00FC54D5">
      <w:pPr>
        <w:spacing w:line="288" w:lineRule="auto"/>
        <w:jc w:val="center"/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t>三</w:t>
      </w:r>
      <w:r w:rsidR="00FC54D5">
        <w:rPr>
          <w:rFonts w:ascii="宋体" w:eastAsia="宋体" w:hAnsi="宋体" w:cs="宋体" w:hint="eastAsia"/>
          <w:b/>
          <w:bCs/>
          <w:sz w:val="30"/>
          <w:szCs w:val="30"/>
        </w:rPr>
        <w:t>、</w:t>
      </w:r>
      <w:r w:rsidRPr="00FC514C">
        <w:rPr>
          <w:rFonts w:ascii="宋体" w:eastAsia="宋体" w:hAnsi="宋体" w:cs="宋体" w:hint="eastAsia"/>
          <w:b/>
          <w:bCs/>
          <w:sz w:val="30"/>
          <w:szCs w:val="30"/>
        </w:rPr>
        <w:t>案例心得体会</w:t>
      </w:r>
    </w:p>
    <w:p w14:paraId="590080A2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过本案例的学习，我们深刻认识到</w:t>
      </w:r>
      <w:proofErr w:type="gramStart"/>
      <w:r>
        <w:rPr>
          <w:rFonts w:ascii="宋体" w:eastAsia="宋体" w:hAnsi="宋体" w:cs="宋体" w:hint="eastAsia"/>
          <w:sz w:val="24"/>
        </w:rPr>
        <w:t>低空经济</w:t>
      </w:r>
      <w:proofErr w:type="gramEnd"/>
      <w:r>
        <w:rPr>
          <w:rFonts w:ascii="宋体" w:eastAsia="宋体" w:hAnsi="宋体" w:cs="宋体" w:hint="eastAsia"/>
          <w:sz w:val="24"/>
        </w:rPr>
        <w:t>在未来城市发展中的重要性。低空飞行基础设施建设不仅是技术创新的体现，更是推动城市现代化、提升交通效率、促进产业升级的关键举措。H市低空综合飞行基建项目作为一个典型案例，为我们提供了对低空经济的全新视角，使我们对其经济效益、社会影响及技术挑战有了更深入的理解。</w:t>
      </w:r>
    </w:p>
    <w:p w14:paraId="0353B9CC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首先，从经济角度来看，低空飞行基础设施建设是一个具有巨大市场潜力的投资领域。近年来，随着无人机技术的进步和5G通信的普及，低空经济正逐步成为智慧城市建设的重要组成部分。低空物流、无人机快递、空中出租车等新兴行业的发展，将极大提高运输效率，降低物流成本，为企业和消费者带来直接经济利益。H市低空综合飞行基建项目正是基于这一趋势，构建完整的低空经济生态系统。通过案例分析，我们进一步理解了财务评价和国民经济评价在项目决策中的重要性。只有充分考虑投资回报、运营成本、市场需求等因素，才能确保项目的可持续发展。</w:t>
      </w:r>
    </w:p>
    <w:p w14:paraId="3E0B6CA6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其次，从社会效益的角度来看，低空飞行不仅有助于缓解地面交通压力，还能提升城市的应急响应能力。例如，在医疗救援领域，无人机可以在几分钟内将急救药品送达患者身边，极大提高抢救成功率。此外，低空物流系统还能改善偏远地区的物资供应，为城乡一体化发展提供支持。H市低空综合飞行基建项目的规划充分考虑了这些社会需求，为未来智慧城市建设提供了参考。我们认识到，在评估一个项目时，不能仅关注经济收益，更要考虑其对社会的长期影响。</w:t>
      </w:r>
    </w:p>
    <w:p w14:paraId="5753F638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此外，该案例让我们更加关注低空经济的发展挑战。低空飞行涉及航空安全、法律法规、公众接受度等多个因素。例如，如何确保无人机的安全飞行，避免对居民生活造成影响？如何制定合理的法规，使低空经济发展既符合市场需求，又不损害公共利益？如何在基础设施建设中引入环保理念，减少碳排放？这些问题都值得深入思考。从案例分析来看，H市政府在项目规划过程中已经考虑到了这些因素，如建立智能空域管理系统、优化航线规划、推动绿色低碳技术的应用等。但在实际落地过程中，仍需要不断优化和调整。</w:t>
      </w:r>
    </w:p>
    <w:p w14:paraId="4B19B1FD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学习该案例的过程中，我们也对工程经济学的应用有了更深的体会。工程项目的经济评价不仅仅是计算财务数据，更需要结合市场趋势、政策环境、技术发展等多方面因素进行综合分析。例如，在敏感性分析中，我们需要考虑政策调整、技术升级、市场需求变化等因素对项目经济效益的影响。H市低空综合飞行</w:t>
      </w:r>
      <w:r>
        <w:rPr>
          <w:rFonts w:ascii="宋体" w:eastAsia="宋体" w:hAnsi="宋体" w:cs="宋体" w:hint="eastAsia"/>
          <w:sz w:val="24"/>
        </w:rPr>
        <w:lastRenderedPageBreak/>
        <w:t>基建项目的经济评价案例，为我们提供了一个实际应用的范例，使我们更加理解工程经济学在现实世界中的重要性。</w:t>
      </w:r>
    </w:p>
    <w:p w14:paraId="33CE031D" w14:textId="77777777" w:rsidR="00CD329B" w:rsidRDefault="00000000">
      <w:pPr>
        <w:spacing w:line="288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总的来说，本案例不仅让我们学习了低空经济的概念和发展趋势，也让我们认识到经济评价在工程项目决策中的核心作用。同时，我们也意识到，任何一个大型工程项目的成功，离不开合理的规划、科学的管理和政策的支持。未来，我们希望能进一步学习工程经济学的理论知识，并结合实际案例，不断提升自己的分析能力，为未来的智慧城市建设贡献自己的力量。</w:t>
      </w:r>
    </w:p>
    <w:sectPr w:rsidR="00CD3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Shell Dlg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BE244E"/>
    <w:multiLevelType w:val="singleLevel"/>
    <w:tmpl w:val="E0BE244E"/>
    <w:lvl w:ilvl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1" w15:restartNumberingAfterBreak="0">
    <w:nsid w:val="17D6EB2C"/>
    <w:multiLevelType w:val="singleLevel"/>
    <w:tmpl w:val="17D6EB2C"/>
    <w:lvl w:ilvl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50896E28"/>
    <w:multiLevelType w:val="hybridMultilevel"/>
    <w:tmpl w:val="847870A2"/>
    <w:lvl w:ilvl="0" w:tplc="02AE47D8">
      <w:start w:val="2025"/>
      <w:numFmt w:val="decimal"/>
      <w:lvlText w:val="%1"/>
      <w:lvlJc w:val="left"/>
      <w:pPr>
        <w:ind w:left="720" w:hanging="720"/>
      </w:pPr>
      <w:rPr>
        <w:rFonts w:ascii="宋体" w:eastAsia="宋体" w:hAnsi="宋体" w:cs="宋体" w:hint="default"/>
        <w:color w:val="000000"/>
        <w:sz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7E41465"/>
    <w:multiLevelType w:val="singleLevel"/>
    <w:tmpl w:val="67E41465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51990678">
    <w:abstractNumId w:val="0"/>
  </w:num>
  <w:num w:numId="2" w16cid:durableId="525752806">
    <w:abstractNumId w:val="3"/>
  </w:num>
  <w:num w:numId="3" w16cid:durableId="1571311272">
    <w:abstractNumId w:val="1"/>
  </w:num>
  <w:num w:numId="4" w16cid:durableId="1899707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ZkN2NhMjYzNTIxNmIwODI1MDYxZTkyOTgwZDRmYTkifQ=="/>
    <w:docVar w:name="KSO_WPS_MARK_KEY" w:val="1d15acbd-a940-4e5f-baad-fbb5bdb56264"/>
  </w:docVars>
  <w:rsids>
    <w:rsidRoot w:val="00034EB2"/>
    <w:rsid w:val="00034EB2"/>
    <w:rsid w:val="001165B6"/>
    <w:rsid w:val="001B27A7"/>
    <w:rsid w:val="002F0891"/>
    <w:rsid w:val="0037417A"/>
    <w:rsid w:val="00400969"/>
    <w:rsid w:val="004932CD"/>
    <w:rsid w:val="00496FC9"/>
    <w:rsid w:val="004A411D"/>
    <w:rsid w:val="00517465"/>
    <w:rsid w:val="00521A91"/>
    <w:rsid w:val="00567ADB"/>
    <w:rsid w:val="006B7311"/>
    <w:rsid w:val="00754508"/>
    <w:rsid w:val="008919A0"/>
    <w:rsid w:val="009346F4"/>
    <w:rsid w:val="00941DA5"/>
    <w:rsid w:val="00954CCB"/>
    <w:rsid w:val="00A2033E"/>
    <w:rsid w:val="00BD517F"/>
    <w:rsid w:val="00C220F2"/>
    <w:rsid w:val="00C414DF"/>
    <w:rsid w:val="00C62FB4"/>
    <w:rsid w:val="00CD329B"/>
    <w:rsid w:val="00D300F8"/>
    <w:rsid w:val="00D44CA4"/>
    <w:rsid w:val="00DA344C"/>
    <w:rsid w:val="00DE6127"/>
    <w:rsid w:val="00E0504A"/>
    <w:rsid w:val="00E865FE"/>
    <w:rsid w:val="00F51B7D"/>
    <w:rsid w:val="00F84140"/>
    <w:rsid w:val="00FC514C"/>
    <w:rsid w:val="00FC54D5"/>
    <w:rsid w:val="00FE2FC6"/>
    <w:rsid w:val="03CC25F0"/>
    <w:rsid w:val="095679F9"/>
    <w:rsid w:val="0E0908A4"/>
    <w:rsid w:val="11AD66DF"/>
    <w:rsid w:val="16483234"/>
    <w:rsid w:val="206B22C8"/>
    <w:rsid w:val="21F83B8D"/>
    <w:rsid w:val="22A646D7"/>
    <w:rsid w:val="25F969F8"/>
    <w:rsid w:val="289206AD"/>
    <w:rsid w:val="2AA542D1"/>
    <w:rsid w:val="3817332C"/>
    <w:rsid w:val="40C633C2"/>
    <w:rsid w:val="433A7D81"/>
    <w:rsid w:val="441004A5"/>
    <w:rsid w:val="4A0C0E18"/>
    <w:rsid w:val="4E6D791F"/>
    <w:rsid w:val="51827079"/>
    <w:rsid w:val="56D136E7"/>
    <w:rsid w:val="69817815"/>
    <w:rsid w:val="6AD43F13"/>
    <w:rsid w:val="6BDE4755"/>
    <w:rsid w:val="6E825BCA"/>
    <w:rsid w:val="7521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10765C"/>
  <w15:docId w15:val="{1C6CC834-70F2-4C73-AA92-284CD544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Body Text Indent"/>
    <w:basedOn w:val="a"/>
    <w:qFormat/>
    <w:pPr>
      <w:widowControl/>
      <w:spacing w:before="100" w:beforeAutospacing="1" w:after="100" w:afterAutospacing="1"/>
      <w:jc w:val="left"/>
    </w:pPr>
    <w:rPr>
      <w:rFonts w:ascii="MS Shell Dlg" w:hAnsi="MS Shell Dlg" w:cs="MS Shell Dlg"/>
      <w:kern w:val="0"/>
      <w:sz w:val="18"/>
      <w:szCs w:val="18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e">
    <w:name w:val="annotation subject"/>
    <w:basedOn w:val="a4"/>
    <w:next w:val="a4"/>
    <w:link w:val="af"/>
    <w:qFormat/>
    <w:rPr>
      <w:b/>
      <w:bCs/>
    </w:rPr>
  </w:style>
  <w:style w:type="character" w:styleId="af0">
    <w:name w:val="Strong"/>
    <w:basedOn w:val="a0"/>
    <w:qFormat/>
    <w:rPr>
      <w:b/>
    </w:rPr>
  </w:style>
  <w:style w:type="character" w:styleId="af1">
    <w:name w:val="annotation reference"/>
    <w:basedOn w:val="a0"/>
    <w:qFormat/>
    <w:rPr>
      <w:sz w:val="21"/>
      <w:szCs w:val="21"/>
    </w:rPr>
  </w:style>
  <w:style w:type="character" w:customStyle="1" w:styleId="font31">
    <w:name w:val="font31"/>
    <w:basedOn w:val="a0"/>
    <w:qFormat/>
    <w:rPr>
      <w:rFonts w:ascii="Calibri" w:hAnsi="Calibri" w:cs="Calibri"/>
      <w:color w:val="000000"/>
      <w:sz w:val="24"/>
      <w:szCs w:val="24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61">
    <w:name w:val="font61"/>
    <w:basedOn w:val="a0"/>
    <w:qFormat/>
    <w:rPr>
      <w:rFonts w:ascii="Calibri" w:hAnsi="Calibri" w:cs="Calibri" w:hint="default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hint="eastAsia"/>
      <w:color w:val="000000"/>
      <w:sz w:val="24"/>
      <w:szCs w:val="24"/>
      <w:u w:val="none"/>
    </w:rPr>
  </w:style>
  <w:style w:type="character" w:customStyle="1" w:styleId="a5">
    <w:name w:val="批注文字 字符"/>
    <w:basedOn w:val="a0"/>
    <w:link w:val="a4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5"/>
    <w:link w:val="ae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8">
    <w:name w:val="批注框文本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c">
    <w:name w:val="页眉 字符"/>
    <w:basedOn w:val="a0"/>
    <w:link w:val="ab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脚 字符"/>
    <w:basedOn w:val="a0"/>
    <w:link w:val="a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E:\User\Desktop\&#39033;&#30446;&#31649;&#29702;\&#26696;&#20363;&#19977;\ver1.0\&#25968;&#2545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r>
              <a:rPr lang="zh-CN" altLang="en-US"/>
              <a:t>敏感性分析图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1400" b="0" i="0" u="none" strike="noStrike" kern="1200" spc="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  <a:endParaRPr lang="zh-CN" alt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[数据.xlsx]Sheet1!$I$21</c:f>
              <c:strCache>
                <c:ptCount val="1"/>
                <c:pt idx="0">
                  <c:v>营业收入</c:v>
                </c:pt>
              </c:strCache>
            </c:strRef>
          </c:tx>
          <c:spPr>
            <a:ln w="28575" cap="rnd">
              <a:solidFill>
                <a:schemeClr val="accent1">
                  <a:alpha val="900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accent1">
                  <a:alpha val="90000"/>
                </a:schemeClr>
              </a:solidFill>
              <a:ln>
                <a:noFill/>
              </a:ln>
              <a:effectLst>
                <a:outerShdw blurRad="50800" dist="38100" dir="5400000" algn="t" rotWithShape="0">
                  <a:schemeClr val="accent1">
                    <a:alpha val="40000"/>
                  </a:schemeClr>
                </a:outerShdw>
              </a:effectLst>
            </c:spPr>
            <c:txPr>
              <a:bodyPr rot="0" spcFirstLastPara="0" vertOverflow="clip" horzOverflow="clip" vert="horz" wrap="square" lIns="72000" tIns="0" rIns="72000" bIns="0" anchor="ctr" anchorCtr="1" forceAA="0">
                <a:spAutoFit/>
              </a:bodyPr>
              <a:lstStyle/>
              <a:p>
                <a:pPr>
                  <a:defRPr lang="zh-CN" sz="1050" b="0" i="0" u="none" strike="noStrike" kern="1200" baseline="0">
                    <a:solidFill>
                      <a:schemeClr val="bg1"/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[数据.xlsx]Sheet1!$H$22:$H$26</c:f>
              <c:numCache>
                <c:formatCode>0%</c:formatCode>
                <c:ptCount val="5"/>
                <c:pt idx="0">
                  <c:v>-0.2</c:v>
                </c:pt>
                <c:pt idx="1">
                  <c:v>-0.1</c:v>
                </c:pt>
                <c:pt idx="2">
                  <c:v>0</c:v>
                </c:pt>
                <c:pt idx="3">
                  <c:v>0.1</c:v>
                </c:pt>
                <c:pt idx="4">
                  <c:v>0.2</c:v>
                </c:pt>
              </c:numCache>
            </c:numRef>
          </c:cat>
          <c:val>
            <c:numRef>
              <c:f>[数据.xlsx]Sheet1!$I$22:$I$26</c:f>
              <c:numCache>
                <c:formatCode>General</c:formatCode>
                <c:ptCount val="5"/>
                <c:pt idx="0">
                  <c:v>12</c:v>
                </c:pt>
                <c:pt idx="1">
                  <c:v>22</c:v>
                </c:pt>
                <c:pt idx="2">
                  <c:v>31</c:v>
                </c:pt>
                <c:pt idx="3">
                  <c:v>38</c:v>
                </c:pt>
                <c:pt idx="4">
                  <c:v>44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EB92-40EB-AF3D-DB43291E5375}"/>
            </c:ext>
          </c:extLst>
        </c:ser>
        <c:ser>
          <c:idx val="1"/>
          <c:order val="1"/>
          <c:tx>
            <c:strRef>
              <c:f>[数据.xlsx]Sheet1!$J$21</c:f>
              <c:strCache>
                <c:ptCount val="1"/>
                <c:pt idx="0">
                  <c:v>建设投资</c:v>
                </c:pt>
              </c:strCache>
            </c:strRef>
          </c:tx>
          <c:spPr>
            <a:ln w="28575" cap="rnd">
              <a:solidFill>
                <a:schemeClr val="accent2">
                  <a:alpha val="900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accent2">
                  <a:alpha val="90000"/>
                </a:schemeClr>
              </a:solidFill>
              <a:ln>
                <a:noFill/>
              </a:ln>
              <a:effectLst>
                <a:outerShdw blurRad="50800" dist="38100" dir="5400000" algn="t" rotWithShape="0">
                  <a:schemeClr val="accent2">
                    <a:alpha val="40000"/>
                  </a:schemeClr>
                </a:outerShdw>
              </a:effectLst>
            </c:spPr>
            <c:txPr>
              <a:bodyPr rot="0" spcFirstLastPara="0" vertOverflow="clip" horzOverflow="clip" vert="horz" wrap="square" lIns="72000" tIns="0" rIns="72000" bIns="0" anchor="ctr" anchorCtr="1" forceAA="0">
                <a:spAutoFit/>
              </a:bodyPr>
              <a:lstStyle/>
              <a:p>
                <a:pPr>
                  <a:defRPr lang="zh-CN" sz="1050" b="0" i="0" u="none" strike="noStrike" kern="1200" baseline="0">
                    <a:solidFill>
                      <a:schemeClr val="bg1"/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[数据.xlsx]Sheet1!$H$22:$H$26</c:f>
              <c:numCache>
                <c:formatCode>0%</c:formatCode>
                <c:ptCount val="5"/>
                <c:pt idx="0">
                  <c:v>-0.2</c:v>
                </c:pt>
                <c:pt idx="1">
                  <c:v>-0.1</c:v>
                </c:pt>
                <c:pt idx="2">
                  <c:v>0</c:v>
                </c:pt>
                <c:pt idx="3">
                  <c:v>0.1</c:v>
                </c:pt>
                <c:pt idx="4">
                  <c:v>0.2</c:v>
                </c:pt>
              </c:numCache>
            </c:numRef>
          </c:cat>
          <c:val>
            <c:numRef>
              <c:f>[数据.xlsx]Sheet1!$J$22:$J$26</c:f>
              <c:numCache>
                <c:formatCode>General</c:formatCode>
                <c:ptCount val="5"/>
                <c:pt idx="0">
                  <c:v>36</c:v>
                </c:pt>
                <c:pt idx="1">
                  <c:v>33</c:v>
                </c:pt>
                <c:pt idx="2">
                  <c:v>31</c:v>
                </c:pt>
                <c:pt idx="3">
                  <c:v>27</c:v>
                </c:pt>
                <c:pt idx="4">
                  <c:v>22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EB92-40EB-AF3D-DB43291E5375}"/>
            </c:ext>
          </c:extLst>
        </c:ser>
        <c:ser>
          <c:idx val="2"/>
          <c:order val="2"/>
          <c:tx>
            <c:strRef>
              <c:f>[数据.xlsx]Sheet1!$K$21</c:f>
              <c:strCache>
                <c:ptCount val="1"/>
                <c:pt idx="0">
                  <c:v>经营成本</c:v>
                </c:pt>
              </c:strCache>
            </c:strRef>
          </c:tx>
          <c:spPr>
            <a:ln w="28575" cap="rnd">
              <a:solidFill>
                <a:schemeClr val="accent3">
                  <a:alpha val="900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accent3">
                  <a:alpha val="90000"/>
                </a:schemeClr>
              </a:solidFill>
              <a:ln>
                <a:noFill/>
              </a:ln>
              <a:effectLst>
                <a:outerShdw blurRad="50800" dist="38100" dir="5400000" algn="t" rotWithShape="0">
                  <a:schemeClr val="accent3">
                    <a:alpha val="40000"/>
                  </a:schemeClr>
                </a:outerShdw>
              </a:effectLst>
            </c:spPr>
            <c:txPr>
              <a:bodyPr rot="0" spcFirstLastPara="0" vertOverflow="clip" horzOverflow="clip" vert="horz" wrap="square" lIns="72000" tIns="0" rIns="72000" bIns="0" anchor="ctr" anchorCtr="1" forceAA="0">
                <a:spAutoFit/>
              </a:bodyPr>
              <a:lstStyle/>
              <a:p>
                <a:pPr>
                  <a:defRPr lang="zh-CN" sz="1050" b="0" i="0" u="none" strike="noStrike" kern="1200" baseline="0">
                    <a:solidFill>
                      <a:schemeClr val="bg1"/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[数据.xlsx]Sheet1!$H$22:$H$26</c:f>
              <c:numCache>
                <c:formatCode>0%</c:formatCode>
                <c:ptCount val="5"/>
                <c:pt idx="0">
                  <c:v>-0.2</c:v>
                </c:pt>
                <c:pt idx="1">
                  <c:v>-0.1</c:v>
                </c:pt>
                <c:pt idx="2">
                  <c:v>0</c:v>
                </c:pt>
                <c:pt idx="3">
                  <c:v>0.1</c:v>
                </c:pt>
                <c:pt idx="4">
                  <c:v>0.2</c:v>
                </c:pt>
              </c:numCache>
            </c:numRef>
          </c:cat>
          <c:val>
            <c:numRef>
              <c:f>[数据.xlsx]Sheet1!$K$22:$K$26</c:f>
              <c:numCache>
                <c:formatCode>General</c:formatCode>
                <c:ptCount val="5"/>
                <c:pt idx="0">
                  <c:v>42</c:v>
                </c:pt>
                <c:pt idx="1">
                  <c:v>36</c:v>
                </c:pt>
                <c:pt idx="2">
                  <c:v>31</c:v>
                </c:pt>
                <c:pt idx="3">
                  <c:v>25</c:v>
                </c:pt>
                <c:pt idx="4">
                  <c:v>18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EB92-40EB-AF3D-DB43291E537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02833100"/>
        <c:axId val="361395523"/>
      </c:lineChart>
      <c:catAx>
        <c:axId val="102833100"/>
        <c:scaling>
          <c:orientation val="minMax"/>
        </c:scaling>
        <c:delete val="0"/>
        <c:axPos val="b"/>
        <c:numFmt formatCode="0%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prstDash val="dash"/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361395523"/>
        <c:crosses val="autoZero"/>
        <c:auto val="1"/>
        <c:lblAlgn val="ctr"/>
        <c:lblOffset val="100"/>
        <c:noMultiLvlLbl val="0"/>
      </c:catAx>
      <c:valAx>
        <c:axId val="361395523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dash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1028331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自定义 1">
    <a:dk1>
      <a:srgbClr val="000000"/>
    </a:dk1>
    <a:lt1>
      <a:srgbClr val="FFFFFF"/>
    </a:lt1>
    <a:dk2>
      <a:srgbClr val="44546A"/>
    </a:dk2>
    <a:lt2>
      <a:srgbClr val="E7E6E6"/>
    </a:lt2>
    <a:accent1>
      <a:srgbClr val="4F80FF"/>
    </a:accent1>
    <a:accent2>
      <a:srgbClr val="16CC8A"/>
    </a:accent2>
    <a:accent3>
      <a:srgbClr val="FFC619"/>
    </a:accent3>
    <a:accent4>
      <a:srgbClr val="FF7F41"/>
    </a:accent4>
    <a:accent5>
      <a:srgbClr val="F95F5F"/>
    </a:accent5>
    <a:accent6>
      <a:srgbClr val="A15CFF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2914</Words>
  <Characters>3119</Characters>
  <Application>Microsoft Office Word</Application>
  <DocSecurity>0</DocSecurity>
  <Lines>129</Lines>
  <Paragraphs>81</Paragraphs>
  <ScaleCrop>false</ScaleCrop>
  <Company>微软中国</Company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linji</dc:creator>
  <cp:lastModifiedBy>sinon kong</cp:lastModifiedBy>
  <cp:revision>5</cp:revision>
  <cp:lastPrinted>2025-04-05T09:56:00Z</cp:lastPrinted>
  <dcterms:created xsi:type="dcterms:W3CDTF">2025-04-05T09:54:00Z</dcterms:created>
  <dcterms:modified xsi:type="dcterms:W3CDTF">2025-04-05T09:56:00Z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541FCDD829C2439C82F422EFB1F799DA</vt:lpwstr>
  </property>
</Properties>
</file>