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46F006">
      <w:pPr>
        <w:spacing w:line="360" w:lineRule="auto"/>
        <w:ind w:left="0" w:leftChars="0" w:firstLine="325" w:firstLineChars="116"/>
        <w:jc w:val="center"/>
        <w:rPr>
          <w:rFonts w:hint="default" w:ascii="Times New Roman" w:hAnsi="Times New Roman" w:cs="Times New Roman"/>
          <w:b/>
          <w:sz w:val="28"/>
          <w:szCs w:val="28"/>
          <w:lang w:val="uz-Latn-UZ"/>
        </w:rPr>
      </w:pPr>
      <w:r>
        <w:rPr>
          <w:rFonts w:hint="default" w:ascii="Times New Roman" w:hAnsi="Times New Roman" w:cs="Times New Roman"/>
          <w:b/>
          <w:sz w:val="28"/>
          <w:szCs w:val="28"/>
          <w:lang w:val="uz-Cyrl-UZ"/>
        </w:rPr>
        <w:t>Labоratоriya i</w:t>
      </w:r>
      <w:r>
        <w:rPr>
          <w:rFonts w:hint="default" w:ascii="Times New Roman" w:hAnsi="Times New Roman" w:cs="Times New Roman"/>
          <w:b/>
          <w:sz w:val="28"/>
          <w:szCs w:val="28"/>
          <w:lang w:val="uz-Latn-UZ"/>
        </w:rPr>
        <w:t>sh</w:t>
      </w:r>
      <w:r>
        <w:rPr>
          <w:rFonts w:hint="default" w:ascii="Times New Roman" w:hAnsi="Times New Roman" w:cs="Times New Roman"/>
          <w:b/>
          <w:sz w:val="28"/>
          <w:szCs w:val="28"/>
          <w:lang w:val="uz-Cyrl-UZ"/>
        </w:rPr>
        <w:t>i №</w:t>
      </w:r>
      <w:r>
        <w:rPr>
          <w:rFonts w:hint="default" w:ascii="Times New Roman" w:hAnsi="Times New Roman" w:cs="Times New Roman"/>
          <w:b/>
          <w:sz w:val="28"/>
          <w:szCs w:val="28"/>
          <w:lang w:val="uz-Latn-UZ"/>
        </w:rPr>
        <w:t>3</w:t>
      </w:r>
    </w:p>
    <w:p w14:paraId="2301B89D">
      <w:pPr>
        <w:spacing w:line="360" w:lineRule="auto"/>
        <w:ind w:left="0" w:leftChars="0" w:firstLine="325" w:firstLineChars="116"/>
        <w:jc w:val="both"/>
        <w:rPr>
          <w:rFonts w:hint="default" w:ascii="Times New Roman" w:hAnsi="Times New Roman" w:cs="Times New Roman"/>
          <w:sz w:val="28"/>
          <w:szCs w:val="28"/>
          <w:lang w:val="uz-Cyrl-UZ"/>
        </w:rPr>
      </w:pPr>
      <w:r>
        <w:rPr>
          <w:rFonts w:hint="default" w:ascii="Times New Roman" w:hAnsi="Times New Roman" w:cs="Times New Roman"/>
          <w:b/>
          <w:sz w:val="28"/>
          <w:szCs w:val="28"/>
          <w:lang w:val="uz-Cyrl-UZ"/>
        </w:rPr>
        <w:t xml:space="preserve">Mavzu: </w:t>
      </w:r>
      <w:r>
        <w:rPr>
          <w:rFonts w:hint="default" w:ascii="Times New Roman" w:hAnsi="Times New Roman" w:cs="Times New Roman"/>
          <w:sz w:val="28"/>
          <w:szCs w:val="28"/>
          <w:lang w:val="en-US"/>
        </w:rPr>
        <w:t>Ro‘yxatlar va ularning turlari bilan ishlash</w:t>
      </w:r>
    </w:p>
    <w:p w14:paraId="3C9C862C">
      <w:pPr>
        <w:spacing w:line="360" w:lineRule="auto"/>
        <w:ind w:firstLine="420" w:firstLineChars="150"/>
        <w:jc w:val="both"/>
        <w:rPr>
          <w:rFonts w:hint="default" w:ascii="Times New Roman" w:hAnsi="Times New Roman" w:cs="Times New Roman"/>
          <w:b/>
          <w:sz w:val="28"/>
          <w:szCs w:val="28"/>
          <w:lang w:val="uz-Latn-UZ"/>
        </w:rPr>
      </w:pPr>
      <w:r>
        <w:rPr>
          <w:rFonts w:hint="default" w:ascii="Times New Roman" w:hAnsi="Times New Roman" w:cs="Times New Roman"/>
          <w:b/>
          <w:sz w:val="28"/>
          <w:szCs w:val="28"/>
          <w:lang w:val="uz-Cyrl-UZ"/>
        </w:rPr>
        <w:t>I</w:t>
      </w:r>
      <w:r>
        <w:rPr>
          <w:rFonts w:hint="default" w:ascii="Times New Roman" w:hAnsi="Times New Roman" w:cs="Times New Roman"/>
          <w:b/>
          <w:sz w:val="28"/>
          <w:szCs w:val="28"/>
          <w:lang w:val="uz-Latn-UZ"/>
        </w:rPr>
        <w:t>sh</w:t>
      </w:r>
      <w:r>
        <w:rPr>
          <w:rFonts w:hint="default" w:ascii="Times New Roman" w:hAnsi="Times New Roman" w:cs="Times New Roman"/>
          <w:b/>
          <w:sz w:val="28"/>
          <w:szCs w:val="28"/>
          <w:lang w:val="uz-Cyrl-UZ"/>
        </w:rPr>
        <w:t>dan ma</w:t>
      </w:r>
      <w:r>
        <w:rPr>
          <w:rFonts w:hint="default" w:ascii="Times New Roman" w:hAnsi="Times New Roman" w:cs="Times New Roman"/>
          <w:b/>
          <w:sz w:val="28"/>
          <w:szCs w:val="28"/>
          <w:lang w:val="uz-Latn-UZ"/>
        </w:rPr>
        <w:t>q</w:t>
      </w:r>
      <w:r>
        <w:rPr>
          <w:rFonts w:hint="default" w:ascii="Times New Roman" w:hAnsi="Times New Roman" w:cs="Times New Roman"/>
          <w:b/>
          <w:sz w:val="28"/>
          <w:szCs w:val="28"/>
          <w:lang w:val="uz-Cyrl-UZ"/>
        </w:rPr>
        <w:t>sad:</w:t>
      </w:r>
      <w:r>
        <w:rPr>
          <w:rFonts w:hint="default" w:ascii="Times New Roman" w:hAnsi="Times New Roman" w:cs="Times New Roman"/>
          <w:b/>
          <w:sz w:val="28"/>
          <w:szCs w:val="28"/>
          <w:lang w:val="uz-Latn-UZ"/>
        </w:rPr>
        <w:t xml:space="preserve"> </w:t>
      </w:r>
    </w:p>
    <w:p w14:paraId="65FE3BF9">
      <w:pPr>
        <w:spacing w:line="360" w:lineRule="auto"/>
        <w:jc w:val="both"/>
        <w:rPr>
          <w:rFonts w:hint="default" w:ascii="Times New Roman" w:hAnsi="Times New Roman" w:cs="Times New Roman"/>
          <w:b w:val="0"/>
          <w:bCs/>
          <w:sz w:val="28"/>
          <w:szCs w:val="28"/>
          <w:lang w:val="uz-Latn-UZ"/>
        </w:rPr>
      </w:pPr>
      <w:r>
        <w:rPr>
          <w:rFonts w:hint="default" w:ascii="Times New Roman" w:hAnsi="Times New Roman" w:cs="Times New Roman"/>
          <w:b/>
          <w:sz w:val="28"/>
          <w:szCs w:val="28"/>
          <w:lang w:val="uz-Latn-UZ"/>
        </w:rPr>
        <w:t xml:space="preserve"> </w:t>
      </w:r>
      <w:r>
        <w:rPr>
          <w:rFonts w:hint="default" w:ascii="Times New Roman" w:hAnsi="Times New Roman" w:cs="Times New Roman"/>
          <w:b w:val="0"/>
          <w:bCs/>
          <w:sz w:val="28"/>
          <w:szCs w:val="28"/>
          <w:lang w:val="uz-Latn-UZ"/>
        </w:rPr>
        <w:t xml:space="preserve">  HTML tilida ro‘yxatlar tushunchasi, ularning turlari va ulardan foydalanish usullarini o‘rganishdir. Ro‘yxatlar yordamida veb sahifalarda ma’lumotlarni tartibga solish, ularni aniq va tushunarli shaklda taqdim etish imkoniyatini yaratish</w:t>
      </w:r>
    </w:p>
    <w:p w14:paraId="322A702A">
      <w:pPr>
        <w:spacing w:line="360" w:lineRule="auto"/>
        <w:ind w:firstLine="420" w:firstLineChars="150"/>
        <w:jc w:val="both"/>
        <w:rPr>
          <w:rFonts w:hint="default" w:ascii="Times New Roman" w:hAnsi="Times New Roman" w:cs="Times New Roman"/>
          <w:b/>
          <w:sz w:val="28"/>
          <w:szCs w:val="28"/>
          <w:lang w:val="uz-Latn-UZ"/>
        </w:rPr>
      </w:pPr>
      <w:r>
        <w:rPr>
          <w:rFonts w:hint="default" w:ascii="Times New Roman" w:hAnsi="Times New Roman" w:cs="Times New Roman"/>
          <w:b/>
          <w:sz w:val="28"/>
          <w:szCs w:val="28"/>
          <w:lang w:val="en-US"/>
        </w:rPr>
        <w:t>Nazariy qism</w:t>
      </w:r>
      <w:r>
        <w:rPr>
          <w:rFonts w:hint="default" w:ascii="Times New Roman" w:hAnsi="Times New Roman" w:cs="Times New Roman"/>
          <w:b/>
          <w:sz w:val="28"/>
          <w:szCs w:val="28"/>
          <w:lang w:val="uz-Latn-UZ"/>
        </w:rPr>
        <w:t>:</w:t>
      </w:r>
    </w:p>
    <w:p w14:paraId="400D44D5">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HTML (HyperText Markup Language) — veb-sahifalarni yaratishda ishlatiladigan asosiy til bo‘lib, unda turli ma’lumotlarni tartibga solish uchun ro‘yxatlar ishlatiladi. Ro‘yxatlar sahifadagi ma’lumotlarni oson o‘qilishi va tuzilishini ta’minlash uchun juda qulay vositadir.</w:t>
      </w:r>
    </w:p>
    <w:p w14:paraId="68BCF5A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HTML da uchta asosiy ro‘yxat turi mavjud:</w:t>
      </w:r>
    </w:p>
    <w:p w14:paraId="0B2CAC36">
      <w:pPr>
        <w:numPr>
          <w:ilvl w:val="0"/>
          <w:numId w:val="1"/>
        </w:numPr>
        <w:spacing w:line="360" w:lineRule="auto"/>
        <w:ind w:leftChars="0"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 xml:space="preserve">Tartiblangan ro‘yxat (Ordered List)  &lt;ol&gt; - </w:t>
      </w:r>
      <w:r>
        <w:rPr>
          <w:rFonts w:hint="default" w:ascii="Times New Roman" w:hAnsi="Times New Roman" w:cs="Times New Roman"/>
          <w:b w:val="0"/>
          <w:bCs w:val="0"/>
          <w:sz w:val="28"/>
          <w:szCs w:val="28"/>
          <w:lang w:val="uz-Latn-UZ"/>
        </w:rPr>
        <w:t>bu ro‘yxat turi elementlar tartib bilan ketma-ket joylashadi. Ro‘yxat elementlari &lt;li&gt; teglari bilan beriladi. Har bir element oldida raqam, harf yoki boshqa tartib ko‘rsatkichi bo‘ladi.</w:t>
      </w:r>
    </w:p>
    <w:p w14:paraId="01654B07">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Masalan:</w:t>
      </w:r>
    </w:p>
    <w:p w14:paraId="5F55A6F7">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&lt;ol&gt;</w:t>
      </w:r>
    </w:p>
    <w:p w14:paraId="7FC0E9B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&lt;li&gt;Olma&lt;/li&gt;</w:t>
      </w:r>
    </w:p>
    <w:p w14:paraId="377588E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&lt;li&gt;Banana&lt;/li&gt;</w:t>
      </w:r>
    </w:p>
    <w:p w14:paraId="6F4929FF">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&lt;li&gt;Gilos&lt;/li&gt;</w:t>
      </w:r>
    </w:p>
    <w:p w14:paraId="572EB347">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&lt;/ol&gt;</w:t>
      </w:r>
    </w:p>
    <w:p w14:paraId="47B23521">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4324350" cy="1543050"/>
            <wp:effectExtent l="0" t="0" r="0" b="0"/>
            <wp:docPr id="2" name="Picture 2" descr="{D2463255-FB67-4058-831F-0F11EFD3C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2463255-FB67-4058-831F-0F11EFD3CA6C}"/>
                    <pic:cNvPicPr>
                      <a:picLocks noChangeAspect="1"/>
                    </pic:cNvPicPr>
                  </pic:nvPicPr>
                  <pic:blipFill>
                    <a:blip r:embed="rId4"/>
                    <a:stretch>
                      <a:fillRect/>
                    </a:stretch>
                  </pic:blipFill>
                  <pic:spPr>
                    <a:xfrm>
                      <a:off x="0" y="0"/>
                      <a:ext cx="4324350" cy="1543050"/>
                    </a:xfrm>
                    <a:prstGeom prst="rect">
                      <a:avLst/>
                    </a:prstGeom>
                  </pic:spPr>
                </pic:pic>
              </a:graphicData>
            </a:graphic>
          </wp:inline>
        </w:drawing>
      </w:r>
    </w:p>
    <w:p w14:paraId="00628AD6">
      <w:pPr>
        <w:numPr>
          <w:ilvl w:val="0"/>
          <w:numId w:val="1"/>
        </w:numPr>
        <w:spacing w:line="360" w:lineRule="auto"/>
        <w:ind w:left="0" w:leftChars="0"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Tartibsiz ro‘yxat (Unordered List)  &lt;ul&gt; -</w:t>
      </w:r>
      <w:r>
        <w:rPr>
          <w:rFonts w:hint="default" w:ascii="Times New Roman" w:hAnsi="Times New Roman" w:cs="Times New Roman"/>
          <w:b w:val="0"/>
          <w:bCs w:val="0"/>
          <w:sz w:val="28"/>
          <w:szCs w:val="28"/>
          <w:lang w:val="uz-Latn-UZ"/>
        </w:rPr>
        <w:t xml:space="preserve"> bu ro‘yxat turi elementlar tartibsiz, odatda nuqta (bullet) bilan belgilanadi. Har bir element ham &lt;li&gt; teglari bilan ko‘rsatiladi.</w:t>
      </w:r>
    </w:p>
    <w:p w14:paraId="73F16E9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Masalan:</w:t>
      </w:r>
    </w:p>
    <w:p w14:paraId="2743BDDE">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&lt;ul&gt;</w:t>
      </w:r>
    </w:p>
    <w:p w14:paraId="1D0E70CF">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&lt;li&gt;Olma&lt;/li&gt;</w:t>
      </w:r>
    </w:p>
    <w:p w14:paraId="6386C6A8">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&lt;li&gt;Banana&lt;/li&gt;</w:t>
      </w:r>
    </w:p>
    <w:p w14:paraId="55192253">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&lt;li&gt;Gilos&lt;/li&gt;</w:t>
      </w:r>
    </w:p>
    <w:p w14:paraId="6763A0B8">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&lt;/ul&gt;</w:t>
      </w:r>
    </w:p>
    <w:p w14:paraId="0D2AA637">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4095750" cy="1771650"/>
            <wp:effectExtent l="0" t="0" r="0" b="0"/>
            <wp:docPr id="3" name="Picture 3" descr="{A6D86998-FAAC-4D01-AD39-69C44A57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6D86998-FAAC-4D01-AD39-69C44A579587}"/>
                    <pic:cNvPicPr>
                      <a:picLocks noChangeAspect="1"/>
                    </pic:cNvPicPr>
                  </pic:nvPicPr>
                  <pic:blipFill>
                    <a:blip r:embed="rId5"/>
                    <a:stretch>
                      <a:fillRect/>
                    </a:stretch>
                  </pic:blipFill>
                  <pic:spPr>
                    <a:xfrm>
                      <a:off x="0" y="0"/>
                      <a:ext cx="4095750" cy="1771650"/>
                    </a:xfrm>
                    <a:prstGeom prst="rect">
                      <a:avLst/>
                    </a:prstGeom>
                  </pic:spPr>
                </pic:pic>
              </a:graphicData>
            </a:graphic>
          </wp:inline>
        </w:drawing>
      </w:r>
    </w:p>
    <w:p w14:paraId="0122CFC8">
      <w:pPr>
        <w:numPr>
          <w:ilvl w:val="0"/>
          <w:numId w:val="1"/>
        </w:numPr>
        <w:spacing w:line="360" w:lineRule="auto"/>
        <w:ind w:left="0" w:leftChars="0"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Ta'rif ro‘yxati (Description List) &lt;dl&gt;-</w:t>
      </w:r>
      <w:r>
        <w:rPr>
          <w:rFonts w:hint="default" w:ascii="Times New Roman" w:hAnsi="Times New Roman" w:cs="Times New Roman"/>
          <w:b w:val="0"/>
          <w:bCs w:val="0"/>
          <w:sz w:val="28"/>
          <w:szCs w:val="28"/>
          <w:lang w:val="uz-Latn-UZ"/>
        </w:rPr>
        <w:t xml:space="preserve"> bu ro‘yxat turi odatda tushuntirishlar yoki ta’riflar uchun ishlatiladi.</w:t>
      </w:r>
    </w:p>
    <w:p w14:paraId="5BC10723">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&lt;dt&gt; — ta'rif nomi (termin), &lt;dd&gt; — uning ta'rifi (description).</w:t>
      </w:r>
    </w:p>
    <w:p w14:paraId="3D7E1C4D">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Masalan:</w:t>
      </w:r>
    </w:p>
    <w:p w14:paraId="5DC89F35">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&lt;dl&gt;</w:t>
      </w:r>
    </w:p>
    <w:p w14:paraId="58990992">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&lt;dt&gt;HTML&lt;/dt&gt;</w:t>
      </w:r>
    </w:p>
    <w:p w14:paraId="7AEF60BB">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&lt;dd&gt;Veb sahifalarni yaratish uchun markup tili&lt;/dd&gt;</w:t>
      </w:r>
    </w:p>
    <w:p w14:paraId="594BDCC2">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&lt;dt&gt;CSS&lt;/dt&gt;</w:t>
      </w:r>
    </w:p>
    <w:p w14:paraId="164D1BB1">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  &lt;dd&gt;Veb sahifalarning ko‘rinishini sozlash tili&lt;/dd&gt;</w:t>
      </w:r>
    </w:p>
    <w:p w14:paraId="334B8313">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&lt;/dl&gt;</w:t>
      </w:r>
    </w:p>
    <w:p w14:paraId="41D00AE2">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3686175" cy="1857375"/>
            <wp:effectExtent l="0" t="0" r="9525" b="9525"/>
            <wp:docPr id="5" name="Picture 5" descr="{CE813D98-05DA-456C-A16C-9F03A6709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E813D98-05DA-456C-A16C-9F03A6709D7D}"/>
                    <pic:cNvPicPr>
                      <a:picLocks noChangeAspect="1"/>
                    </pic:cNvPicPr>
                  </pic:nvPicPr>
                  <pic:blipFill>
                    <a:blip r:embed="rId6"/>
                    <a:stretch>
                      <a:fillRect/>
                    </a:stretch>
                  </pic:blipFill>
                  <pic:spPr>
                    <a:xfrm>
                      <a:off x="0" y="0"/>
                      <a:ext cx="3686175" cy="1857375"/>
                    </a:xfrm>
                    <a:prstGeom prst="rect">
                      <a:avLst/>
                    </a:prstGeom>
                  </pic:spPr>
                </pic:pic>
              </a:graphicData>
            </a:graphic>
          </wp:inline>
        </w:drawing>
      </w:r>
    </w:p>
    <w:p w14:paraId="53F91650">
      <w:pPr>
        <w:spacing w:line="360" w:lineRule="auto"/>
        <w:ind w:firstLine="420" w:firstLineChars="150"/>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Ro‘yxatlar bilan ishlashning afzalliklari: Ma’lumotlarni tartibga soladi. Foydalanuvchi uchun oson tushunarli qiladi. Veb sahifa ko‘rinishini yaxshilaydi. Stil (CSS) yordamida ko‘rinishini o‘zgartirish mumkin.</w:t>
      </w:r>
    </w:p>
    <w:p w14:paraId="48126B7D">
      <w:pPr>
        <w:spacing w:line="360" w:lineRule="auto"/>
        <w:ind w:firstLine="420"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Laboratoriya ishini bajarish:</w:t>
      </w:r>
    </w:p>
    <w:p w14:paraId="377DB06B">
      <w:pPr>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Bugungi mavzuga oid teglar bilan tanishib chiqib, sahifamizga shularni qo’shdik. </w:t>
      </w:r>
      <w:bookmarkStart w:id="0" w:name="_GoBack"/>
      <w:bookmarkEnd w:id="0"/>
    </w:p>
    <w:p w14:paraId="306D919D">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w:t>
      </w:r>
      <w:r>
        <w:rPr>
          <w:rFonts w:hint="default" w:ascii="Times New Roman" w:hAnsi="Times New Roman" w:eastAsia="Consolas" w:cs="Times New Roman"/>
          <w:b w:val="0"/>
          <w:bCs w:val="0"/>
          <w:color w:val="800000"/>
          <w:kern w:val="0"/>
          <w:sz w:val="22"/>
          <w:szCs w:val="22"/>
          <w:shd w:val="clear" w:fill="FFFFFF"/>
          <w:lang w:val="en-US" w:eastAsia="zh-CN" w:bidi="ar"/>
        </w:rPr>
        <w:t>&lt;section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"faculties"</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"section section-alt"</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6FEF19A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"container"</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5B8778F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&lt;h2&gt;</w:t>
      </w:r>
      <w:r>
        <w:rPr>
          <w:rFonts w:hint="default" w:ascii="Times New Roman" w:hAnsi="Times New Roman" w:eastAsia="Consolas" w:cs="Times New Roman"/>
          <w:b w:val="0"/>
          <w:bCs w:val="0"/>
          <w:color w:val="000000"/>
          <w:kern w:val="0"/>
          <w:sz w:val="22"/>
          <w:szCs w:val="22"/>
          <w:shd w:val="clear" w:fill="FFFFFF"/>
          <w:lang w:val="en-US" w:eastAsia="zh-CN" w:bidi="ar"/>
        </w:rPr>
        <w:t>Fakultetlar</w:t>
      </w:r>
      <w:r>
        <w:rPr>
          <w:rFonts w:hint="default" w:ascii="Times New Roman" w:hAnsi="Times New Roman" w:eastAsia="Consolas" w:cs="Times New Roman"/>
          <w:b w:val="0"/>
          <w:bCs w:val="0"/>
          <w:color w:val="800000"/>
          <w:kern w:val="0"/>
          <w:sz w:val="22"/>
          <w:szCs w:val="22"/>
          <w:shd w:val="clear" w:fill="FFFFFF"/>
          <w:lang w:val="en-US" w:eastAsia="zh-CN" w:bidi="ar"/>
        </w:rPr>
        <w:t>&lt;/h2&gt;</w:t>
      </w:r>
    </w:p>
    <w:p w14:paraId="20A771B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"grid"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53FCCEB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&lt;article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"tile"</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55887E7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Axborot texnologiyalari</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3D5B7318">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&lt;p&gt;</w:t>
      </w:r>
      <w:r>
        <w:rPr>
          <w:rFonts w:hint="default" w:ascii="Times New Roman" w:hAnsi="Times New Roman" w:eastAsia="Consolas" w:cs="Times New Roman"/>
          <w:b w:val="0"/>
          <w:bCs w:val="0"/>
          <w:color w:val="000000"/>
          <w:kern w:val="0"/>
          <w:sz w:val="22"/>
          <w:szCs w:val="22"/>
          <w:shd w:val="clear" w:fill="FFFFFF"/>
          <w:lang w:val="en-US" w:eastAsia="zh-CN" w:bidi="ar"/>
        </w:rPr>
        <w:t>Dasturlash, tarmoq texnologiyalari va ma'lumotlar bazasi yo‘nalishlari.</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6EC6BB2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4C915F2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Backend va frontend</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78ACB81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Mobil ilovalar</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47EB38F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Sun’iy intellekt asoslari</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552A53A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2695E99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&lt;/article&gt;</w:t>
      </w:r>
    </w:p>
    <w:p w14:paraId="17215F7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&lt;article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"tile"</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7354AB3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Iqtisodiyot</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27C9F6A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&lt;p&gt;</w:t>
      </w:r>
      <w:r>
        <w:rPr>
          <w:rFonts w:hint="default" w:ascii="Times New Roman" w:hAnsi="Times New Roman" w:eastAsia="Consolas" w:cs="Times New Roman"/>
          <w:b w:val="0"/>
          <w:bCs w:val="0"/>
          <w:color w:val="000000"/>
          <w:kern w:val="0"/>
          <w:sz w:val="22"/>
          <w:szCs w:val="22"/>
          <w:shd w:val="clear" w:fill="FFFFFF"/>
          <w:lang w:val="en-US" w:eastAsia="zh-CN" w:bidi="ar"/>
        </w:rPr>
        <w:t>Moliyaviy tahlil, menejment va marketing yo‘nalishlari.</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010C4BB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38E1E08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Biznes boshqaruvi</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33260B02">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Hisob va audit</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7677445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Raqamli marketing</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05E0C80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14D74D52">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&lt;/article&gt;</w:t>
      </w:r>
    </w:p>
    <w:p w14:paraId="5B4C658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&lt;article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"tile"</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3AE24FD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Filologiya</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57ECC23D">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&lt;p&gt;</w:t>
      </w:r>
      <w:r>
        <w:rPr>
          <w:rFonts w:hint="default" w:ascii="Times New Roman" w:hAnsi="Times New Roman" w:eastAsia="Consolas" w:cs="Times New Roman"/>
          <w:b w:val="0"/>
          <w:bCs w:val="0"/>
          <w:color w:val="000000"/>
          <w:kern w:val="0"/>
          <w:sz w:val="22"/>
          <w:szCs w:val="22"/>
          <w:shd w:val="clear" w:fill="FFFFFF"/>
          <w:lang w:val="en-US" w:eastAsia="zh-CN" w:bidi="ar"/>
        </w:rPr>
        <w:t>O‘zbek tili va adabiyoti, ingliz tili, tarjima nazariyasi.</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4101842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0CE1793D">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Lingvistika</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3AD1CCD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Til o‘qitish metodikasi</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5690346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Madaniyatlararo kommunikatsiya</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67749E58">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68EC3B2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&lt;/article&gt;</w:t>
      </w:r>
    </w:p>
    <w:p w14:paraId="5DC8E28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&lt;article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"tile"</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2B1CF81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Tabiiy fanlar</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21575DA7">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&lt;p&gt;</w:t>
      </w:r>
      <w:r>
        <w:rPr>
          <w:rFonts w:hint="default" w:ascii="Times New Roman" w:hAnsi="Times New Roman" w:eastAsia="Consolas" w:cs="Times New Roman"/>
          <w:b w:val="0"/>
          <w:bCs w:val="0"/>
          <w:color w:val="000000"/>
          <w:kern w:val="0"/>
          <w:sz w:val="22"/>
          <w:szCs w:val="22"/>
          <w:shd w:val="clear" w:fill="FFFFFF"/>
          <w:lang w:val="en-US" w:eastAsia="zh-CN" w:bidi="ar"/>
        </w:rPr>
        <w:t>Fizika, kimyo, biologiya va ekologiya yo‘nalishlari.</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29A1CD5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198179A5">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Laboratoriya ishlari</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71135B8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Ilmiy tadqiqotlar</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4889C38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Ekologik loyihalar</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19A0F5B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338668B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&lt;/article&gt;</w:t>
      </w:r>
    </w:p>
    <w:p w14:paraId="5B6CC98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47FA4CA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4072A889">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&lt;/section&gt;</w:t>
      </w:r>
    </w:p>
    <w:p w14:paraId="594B63F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p>
    <w:p w14:paraId="505FC48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&lt;section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"admissions"</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"section"</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684D54C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"container"</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097572D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&lt;h2&gt;</w:t>
      </w:r>
      <w:r>
        <w:rPr>
          <w:rFonts w:hint="default" w:ascii="Times New Roman" w:hAnsi="Times New Roman" w:eastAsia="Consolas" w:cs="Times New Roman"/>
          <w:b w:val="0"/>
          <w:bCs w:val="0"/>
          <w:color w:val="000000"/>
          <w:kern w:val="0"/>
          <w:sz w:val="22"/>
          <w:szCs w:val="22"/>
          <w:shd w:val="clear" w:fill="FFFFFF"/>
          <w:lang w:val="en-US" w:eastAsia="zh-CN" w:bidi="ar"/>
        </w:rPr>
        <w:t>Qabul bo‘limi</w:t>
      </w:r>
      <w:r>
        <w:rPr>
          <w:rFonts w:hint="default" w:ascii="Times New Roman" w:hAnsi="Times New Roman" w:eastAsia="Consolas" w:cs="Times New Roman"/>
          <w:b w:val="0"/>
          <w:bCs w:val="0"/>
          <w:color w:val="800000"/>
          <w:kern w:val="0"/>
          <w:sz w:val="22"/>
          <w:szCs w:val="22"/>
          <w:shd w:val="clear" w:fill="FFFFFF"/>
          <w:lang w:val="en-US" w:eastAsia="zh-CN" w:bidi="ar"/>
        </w:rPr>
        <w:t>&lt;/h2&gt;</w:t>
      </w:r>
    </w:p>
    <w:p w14:paraId="3018D56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"admissions"</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5F0BAC0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1914AB7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Talablar</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610E3C9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308F39CF">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Onlayn ro‘yxatdan o‘tish arizasi</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1DBB4D22">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Imtihon natijalari (DTM)</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6A9EBE0D">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Pasport va diplom nusxalari</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3B450D6E">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3E50F04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4FBDCBC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3E5C900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Muddatlar</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53ED2C1D">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41575BD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Ro‘yxatdan o‘tish: 1-iyun — 15-iyul</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5A62404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Imtihonlar: 20-iyul — 10-avgust</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6BA09D9A">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&lt;li&gt;</w:t>
      </w:r>
      <w:r>
        <w:rPr>
          <w:rFonts w:hint="default" w:ascii="Times New Roman" w:hAnsi="Times New Roman" w:eastAsia="Consolas" w:cs="Times New Roman"/>
          <w:b w:val="0"/>
          <w:bCs w:val="0"/>
          <w:color w:val="000000"/>
          <w:kern w:val="0"/>
          <w:sz w:val="22"/>
          <w:szCs w:val="22"/>
          <w:shd w:val="clear" w:fill="FFFFFF"/>
          <w:lang w:val="en-US" w:eastAsia="zh-CN" w:bidi="ar"/>
        </w:rPr>
        <w:t>Natijalar: 20-avgust</w:t>
      </w:r>
      <w:r>
        <w:rPr>
          <w:rFonts w:hint="default" w:ascii="Times New Roman" w:hAnsi="Times New Roman" w:eastAsia="Consolas" w:cs="Times New Roman"/>
          <w:b w:val="0"/>
          <w:bCs w:val="0"/>
          <w:color w:val="800000"/>
          <w:kern w:val="0"/>
          <w:sz w:val="22"/>
          <w:szCs w:val="22"/>
          <w:shd w:val="clear" w:fill="FFFFFF"/>
          <w:lang w:val="en-US" w:eastAsia="zh-CN" w:bidi="ar"/>
        </w:rPr>
        <w:t>&lt;/li&gt;</w:t>
      </w:r>
    </w:p>
    <w:p w14:paraId="3BC3388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&lt;/ul&gt;</w:t>
      </w:r>
    </w:p>
    <w:p w14:paraId="0D40FDF6">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0F18F8F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"ad-card"</w:t>
      </w:r>
      <w:r>
        <w:rPr>
          <w:rFonts w:hint="default" w:ascii="Times New Roman" w:hAnsi="Times New Roman" w:eastAsia="Consolas" w:cs="Times New Roman"/>
          <w:b w:val="0"/>
          <w:bCs w:val="0"/>
          <w:color w:val="800000"/>
          <w:kern w:val="0"/>
          <w:sz w:val="22"/>
          <w:szCs w:val="22"/>
          <w:shd w:val="clear" w:fill="FFFFFF"/>
          <w:lang w:val="en-US" w:eastAsia="zh-CN" w:bidi="ar"/>
        </w:rPr>
        <w:t>&gt;</w:t>
      </w:r>
    </w:p>
    <w:p w14:paraId="196729E3">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&lt;h3&gt;</w:t>
      </w:r>
      <w:r>
        <w:rPr>
          <w:rFonts w:hint="default" w:ascii="Times New Roman" w:hAnsi="Times New Roman" w:eastAsia="Consolas" w:cs="Times New Roman"/>
          <w:b w:val="0"/>
          <w:bCs w:val="0"/>
          <w:color w:val="000000"/>
          <w:kern w:val="0"/>
          <w:sz w:val="22"/>
          <w:szCs w:val="22"/>
          <w:shd w:val="clear" w:fill="FFFFFF"/>
          <w:lang w:val="en-US" w:eastAsia="zh-CN" w:bidi="ar"/>
        </w:rPr>
        <w:t>Qo‘shimcha ma’lumot</w:t>
      </w:r>
      <w:r>
        <w:rPr>
          <w:rFonts w:hint="default" w:ascii="Times New Roman" w:hAnsi="Times New Roman" w:eastAsia="Consolas" w:cs="Times New Roman"/>
          <w:b w:val="0"/>
          <w:bCs w:val="0"/>
          <w:color w:val="800000"/>
          <w:kern w:val="0"/>
          <w:sz w:val="22"/>
          <w:szCs w:val="22"/>
          <w:shd w:val="clear" w:fill="FFFFFF"/>
          <w:lang w:val="en-US" w:eastAsia="zh-CN" w:bidi="ar"/>
        </w:rPr>
        <w:t>&lt;/h3&gt;</w:t>
      </w:r>
    </w:p>
    <w:p w14:paraId="2A75727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&lt;p&gt;</w:t>
      </w:r>
      <w:r>
        <w:rPr>
          <w:rFonts w:hint="default" w:ascii="Times New Roman" w:hAnsi="Times New Roman" w:eastAsia="Consolas" w:cs="Times New Roman"/>
          <w:b w:val="0"/>
          <w:bCs w:val="0"/>
          <w:color w:val="000000"/>
          <w:kern w:val="0"/>
          <w:sz w:val="22"/>
          <w:szCs w:val="22"/>
          <w:shd w:val="clear" w:fill="FFFFFF"/>
          <w:lang w:val="en-US" w:eastAsia="zh-CN" w:bidi="ar"/>
        </w:rPr>
        <w:t>Grantlar, kontrakt miqdorlari va qo‘llab-quvvatlash dasturlari qabul bo‘limi sahifasida e’lon qilinadi.</w:t>
      </w:r>
      <w:r>
        <w:rPr>
          <w:rFonts w:hint="default" w:ascii="Times New Roman" w:hAnsi="Times New Roman" w:eastAsia="Consolas" w:cs="Times New Roman"/>
          <w:b w:val="0"/>
          <w:bCs w:val="0"/>
          <w:color w:val="800000"/>
          <w:kern w:val="0"/>
          <w:sz w:val="22"/>
          <w:szCs w:val="22"/>
          <w:shd w:val="clear" w:fill="FFFFFF"/>
          <w:lang w:val="en-US" w:eastAsia="zh-CN" w:bidi="ar"/>
        </w:rPr>
        <w:t>&lt;/p&gt;</w:t>
      </w:r>
    </w:p>
    <w:p w14:paraId="529C590C">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6676D061">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589C391B">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&lt;a</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href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"#contact"</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class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000FF"/>
          <w:kern w:val="0"/>
          <w:sz w:val="22"/>
          <w:szCs w:val="22"/>
          <w:shd w:val="clear" w:fill="FFFFFF"/>
          <w:lang w:val="en-US" w:eastAsia="zh-CN" w:bidi="ar"/>
        </w:rPr>
        <w:t>"btn btn-primary"</w:t>
      </w:r>
      <w:r>
        <w:rPr>
          <w:rFonts w:hint="default" w:ascii="Times New Roman" w:hAnsi="Times New Roman" w:eastAsia="Consolas" w:cs="Times New Roman"/>
          <w:b w:val="0"/>
          <w:bCs w:val="0"/>
          <w:color w:val="800000"/>
          <w:kern w:val="0"/>
          <w:sz w:val="22"/>
          <w:szCs w:val="22"/>
          <w:shd w:val="clear" w:fill="FFFFFF"/>
          <w:lang w:val="en-US" w:eastAsia="zh-CN" w:bidi="ar"/>
        </w:rPr>
        <w:t>&gt;</w:t>
      </w:r>
      <w:r>
        <w:rPr>
          <w:rFonts w:hint="default" w:ascii="Times New Roman" w:hAnsi="Times New Roman" w:eastAsia="Consolas" w:cs="Times New Roman"/>
          <w:b w:val="0"/>
          <w:bCs w:val="0"/>
          <w:color w:val="000000"/>
          <w:kern w:val="0"/>
          <w:sz w:val="22"/>
          <w:szCs w:val="22"/>
          <w:shd w:val="clear" w:fill="FFFFFF"/>
          <w:lang w:val="en-US" w:eastAsia="zh-CN" w:bidi="ar"/>
        </w:rPr>
        <w:t>Savol bering</w:t>
      </w:r>
      <w:r>
        <w:rPr>
          <w:rFonts w:hint="default" w:ascii="Times New Roman" w:hAnsi="Times New Roman" w:eastAsia="Consolas" w:cs="Times New Roman"/>
          <w:b w:val="0"/>
          <w:bCs w:val="0"/>
          <w:color w:val="800000"/>
          <w:kern w:val="0"/>
          <w:sz w:val="22"/>
          <w:szCs w:val="22"/>
          <w:shd w:val="clear" w:fill="FFFFFF"/>
          <w:lang w:val="en-US" w:eastAsia="zh-CN" w:bidi="ar"/>
        </w:rPr>
        <w:t>&lt;/a&gt;</w:t>
      </w:r>
    </w:p>
    <w:p w14:paraId="6C7747B4">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&lt;/div&gt;</w:t>
      </w:r>
    </w:p>
    <w:p w14:paraId="74CEBFD2">
      <w:pPr>
        <w:keepNext w:val="0"/>
        <w:keepLines w:val="0"/>
        <w:widowControl/>
        <w:suppressLineNumbers w:val="0"/>
        <w:shd w:val="clear" w:fill="FFFFFF"/>
        <w:spacing w:line="240" w:lineRule="auto"/>
        <w:jc w:val="both"/>
        <w:rPr>
          <w:rFonts w:hint="default" w:ascii="Times New Roman" w:hAnsi="Times New Roman" w:eastAsia="SimSun" w:cs="Times New Roman"/>
          <w:sz w:val="22"/>
          <w:szCs w:val="22"/>
          <w:lang w:val="uz-Latn-UZ"/>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&lt;/section&gt;</w:t>
      </w:r>
    </w:p>
    <w:p w14:paraId="0078BB28">
      <w:pPr>
        <w:spacing w:line="360" w:lineRule="auto"/>
        <w:jc w:val="left"/>
        <w:rPr>
          <w:rFonts w:hint="default" w:ascii="Times New Roman" w:hAnsi="Times New Roman" w:eastAsia="SimSun" w:cs="Times New Roman"/>
          <w:sz w:val="28"/>
          <w:szCs w:val="28"/>
          <w:lang w:val="uz-Latn-UZ"/>
        </w:rPr>
      </w:pPr>
      <w:r>
        <w:rPr>
          <w:rFonts w:hint="default" w:eastAsia="SimSun" w:cs="Times New Roman"/>
          <w:sz w:val="28"/>
          <w:szCs w:val="28"/>
          <w:lang w:val="uz-Latn-UZ"/>
        </w:rPr>
        <w:t>Ko’rinishi:</w:t>
      </w:r>
    </w:p>
    <w:p w14:paraId="5B41C01B">
      <w:pPr>
        <w:spacing w:line="360" w:lineRule="auto"/>
        <w:jc w:val="left"/>
        <w:rPr>
          <w:rFonts w:hint="default" w:ascii="SimSun" w:hAnsi="SimSun" w:eastAsia="SimSun" w:cs="SimSun"/>
          <w:sz w:val="24"/>
          <w:szCs w:val="24"/>
          <w:lang w:val="uz-Latn-UZ"/>
        </w:rPr>
      </w:pPr>
      <w:r>
        <w:rPr>
          <w:rFonts w:hint="default" w:ascii="SimSun" w:hAnsi="SimSun" w:eastAsia="SimSun" w:cs="SimSun"/>
          <w:sz w:val="24"/>
          <w:szCs w:val="24"/>
          <w:lang w:val="uz-Latn-UZ"/>
        </w:rPr>
        <w:drawing>
          <wp:inline distT="0" distB="0" distL="114300" distR="114300">
            <wp:extent cx="5273040" cy="1517015"/>
            <wp:effectExtent l="0" t="0" r="3810" b="6985"/>
            <wp:docPr id="6" name="Picture 6" descr="{B4BCC9DD-66EC-4EEA-B7A4-2718310AA8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4BCC9DD-66EC-4EEA-B7A4-2718310AA84D}"/>
                    <pic:cNvPicPr>
                      <a:picLocks noChangeAspect="1"/>
                    </pic:cNvPicPr>
                  </pic:nvPicPr>
                  <pic:blipFill>
                    <a:blip r:embed="rId7"/>
                    <a:stretch>
                      <a:fillRect/>
                    </a:stretch>
                  </pic:blipFill>
                  <pic:spPr>
                    <a:xfrm>
                      <a:off x="0" y="0"/>
                      <a:ext cx="5273040" cy="1517015"/>
                    </a:xfrm>
                    <a:prstGeom prst="rect">
                      <a:avLst/>
                    </a:prstGeom>
                  </pic:spPr>
                </pic:pic>
              </a:graphicData>
            </a:graphic>
          </wp:inline>
        </w:drawing>
      </w:r>
    </w:p>
    <w:p w14:paraId="51449527">
      <w:pPr>
        <w:spacing w:line="360" w:lineRule="auto"/>
        <w:jc w:val="left"/>
        <w:rPr>
          <w:rFonts w:hint="default" w:ascii="SimSun" w:hAnsi="SimSun" w:eastAsia="SimSun" w:cs="SimSun"/>
          <w:sz w:val="24"/>
          <w:szCs w:val="24"/>
          <w:lang w:val="uz-Latn-UZ"/>
        </w:rPr>
      </w:pPr>
      <w:r>
        <w:rPr>
          <w:rFonts w:hint="default" w:ascii="SimSun" w:hAnsi="SimSun" w:eastAsia="SimSun" w:cs="SimSun"/>
          <w:sz w:val="24"/>
          <w:szCs w:val="24"/>
          <w:lang w:val="uz-Latn-UZ"/>
        </w:rPr>
        <w:drawing>
          <wp:inline distT="0" distB="0" distL="114300" distR="114300">
            <wp:extent cx="5273675" cy="1619250"/>
            <wp:effectExtent l="0" t="0" r="3175" b="0"/>
            <wp:docPr id="7" name="Picture 7" descr="{C72061E6-624D-433B-8E1E-AD69B7939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72061E6-624D-433B-8E1E-AD69B7939ADE}"/>
                    <pic:cNvPicPr>
                      <a:picLocks noChangeAspect="1"/>
                    </pic:cNvPicPr>
                  </pic:nvPicPr>
                  <pic:blipFill>
                    <a:blip r:embed="rId8"/>
                    <a:stretch>
                      <a:fillRect/>
                    </a:stretch>
                  </pic:blipFill>
                  <pic:spPr>
                    <a:xfrm>
                      <a:off x="0" y="0"/>
                      <a:ext cx="5273675" cy="1619250"/>
                    </a:xfrm>
                    <a:prstGeom prst="rect">
                      <a:avLst/>
                    </a:prstGeom>
                  </pic:spPr>
                </pic:pic>
              </a:graphicData>
            </a:graphic>
          </wp:inline>
        </w:drawing>
      </w:r>
    </w:p>
    <w:p w14:paraId="1533B3CB">
      <w:pPr>
        <w:spacing w:line="360" w:lineRule="auto"/>
        <w:ind w:firstLine="420" w:firstLineChars="150"/>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737683EA">
      <w:pPr>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b w:val="0"/>
          <w:bCs w:val="0"/>
          <w:sz w:val="28"/>
          <w:szCs w:val="28"/>
          <w:lang w:val="uz-Latn-UZ"/>
        </w:rPr>
        <w:t xml:space="preserve">Demak, </w:t>
      </w:r>
      <w:r>
        <w:rPr>
          <w:rFonts w:hint="default" w:ascii="Times New Roman" w:hAnsi="Times New Roman" w:eastAsia="SimSun" w:cs="Times New Roman"/>
          <w:sz w:val="28"/>
          <w:szCs w:val="28"/>
        </w:rPr>
        <w:t>HTML da ro‘yxatlar va ularning turlari bilan ishlash veb sahifalar tarkibini tartibga solish va ma’lumotlarni samarali taqdim etishda muhim ahamiyatga ega. Tartiblangan va tartibsiz ro‘yxatlar orqali foydalanuvchiga qulay va aniq ko‘rinishda ma’lumot berish mumkin. Ta'rif ro‘yxati esa murakkab tushunchalar yoki terminlarni aniq ifodalash imkonini beradi. Shu sababli, ro‘yxatlardan to‘g‘ri foydalanish veb-dizaynning asosiy qismidir</w:t>
      </w:r>
      <w:r>
        <w:rPr>
          <w:rFonts w:hint="default" w:ascii="Times New Roman" w:hAnsi="Times New Roman" w:eastAsia="SimSun" w:cs="Times New Roman"/>
          <w:sz w:val="28"/>
          <w:szCs w:val="28"/>
          <w:lang w:val="uz-Latn-UZ"/>
        </w:rPr>
        <w:t>.</w:t>
      </w:r>
    </w:p>
    <w:p w14:paraId="3749122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41FB63"/>
    <w:multiLevelType w:val="singleLevel"/>
    <w:tmpl w:val="AB41FB6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83146"/>
    <w:rsid w:val="0BD83146"/>
    <w:rsid w:val="11AF1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pPr>
    <w:rPr>
      <w:rFonts w:ascii="Times New Roman" w:hAnsi="Times New Roman" w:eastAsia="Times New Roman" w:cs="Times New Roman"/>
      <w:sz w:val="28"/>
      <w:szCs w:val="28"/>
      <w:lang w:val="ru-RU"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8</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2025-12-21T18:41:00Z</dcterms:created>
  <dc:creator>Shahrizoda Rustamova</dc:creator>
  <cp:lastModifiedBy>Shahrizoda Rustamova</cp:lastModifiedBy>
  <dcterms:modified xsi:type="dcterms:W3CDTF">2025-12-21T18:49:51Z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9318E7AB09FC4319B24E7E83651F61CD_11</vt:lpwstr>
  </property>
</Properties>
</file>