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Retrieval-Augmented Generation vs. Fine-Tuned-Only Baseline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Evaluation Report — Health Intelligence Companion (FYP 2026)</w:t>
      </w:r>
    </w:p>
    <w:p>
      <w:pPr>
        <w:spacing w:after="300"/>
        <w:jc w:val="center"/>
      </w:pPr>
      <w:r>
        <w:rPr>
          <w:i/>
          <w:iCs/>
          <w:color w:val="777777"/>
          <w:sz w:val="18"/>
          <w:szCs w:val="18"/>
        </w:rPr>
        <w:t xml:space="preserve">Base model: BioMistral-7B (QLoRA fine-tuned) · Corrective RAG over Qdrant · Evaluated on held-out in-distribution test set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60"/>
      </w:pPr>
      <w:r>
        <w:t xml:space="preserve">This report compares the response quality of the fine-tuned BioMistral-7B model used alone against the same model augmented with the project's Corrective RAG pipeline. Both pipelines were evaluated on the same held-out, in-distribution test set using reference-based text-similarity metrics (ROUGE-1, ROUGE-2, ROUGE-L) and semantic similarity (BERTScore F1), consistent with the metrics used in the original fine-tuning evaluation.</w:t>
      </w:r>
    </w:p>
    <w:p>
      <w:pPr>
        <w:pStyle w:val="Heading1"/>
        <w:spacing w:after="150" w:before="300"/>
      </w:pPr>
      <w:r>
        <w:t xml:space="preserve">2. Evaluation Setup Notes</w:t>
      </w:r>
    </w:p>
    <w:p>
      <w:pPr>
        <w:spacing w:after="160"/>
      </w:pPr>
      <w:r>
        <w:t xml:space="preserve">BERTScore computes semantic similarity by encoding both the generated and reference answers with a pretrained contextual embedding model — this evaluation used roberta-large as the underlying scorer, which is BERTScore's standard default model for English text. The console output below is logged automatically by the scoring library each time roberta-large is loaded; it is not an error from the project's own pipeline and does not affect the RAG or fine-tuned model in any way.</w:t>
      </w:r>
    </w:p>
    <w:p>
      <w:pPr>
        <w:pStyle w:val="Heading2"/>
        <w:spacing w:after="120" w:before="240"/>
      </w:pPr>
      <w:r>
        <w:t xml:space="preserve">2.1 roberta-large Load Report (BERTScore scorer)</w:t>
      </w:r>
    </w:p>
    <w:p>
      <w:pPr>
        <w:spacing w:after="160"/>
      </w:pPr>
      <w:r>
        <w:t xml:space="preserve">The load report lists two categories of mismatch between the downloaded checkpoint and the RobertaModel class being loaded: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UNEXPECTED keys (lm_head.*) — weights belonging to RoBERTa's original masked-language-modeling head. BERTScore only needs the base encoder's hidden states, not the language-modeling head, so these weights are loaded from the checkpoint but unused and safely discarded.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MISSING keys (pooler.dense.*) — the pooling layer is randomly initialized because BERTScore does not use the pooled [CLS] output; it scores token-level embeddings directly, so the uninitialized pooler has no effect on the reported scores.</w:t>
      </w:r>
    </w:p>
    <w:p>
      <w:pPr>
        <w:spacing w:after="160"/>
      </w:pPr>
      <w:r>
        <w:t xml:space="preserve">Both notices are expected, standard behavior any time roberta-large is loaded through Hugging Face Transformers for an embedding-only task such as BERTScore, and appear identically whether the pipeline is scoring the fine-tuned-only outputs or the RAG outputs. They confirm the scorer loaded successfully, not a failure.</w:t>
      </w:r>
    </w:p>
    <w:p>
      <w:pPr>
        <w:pStyle w:val="Heading1"/>
        <w:spacing w:after="150" w:before="300"/>
      </w:pPr>
      <w:r>
        <w:t xml:space="preserve">3. Results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50"/>
        <w:gridCol w:w="2100"/>
        <w:gridCol w:w="1850"/>
        <w:gridCol w:w="1740"/>
      </w:tblGrid>
      <w:tr>
        <w:trPr>
          <w:tblHeader/>
        </w:trPr>
        <w:tc>
          <w:tcPr>
            <w:tcW w:type="dxa" w:w="24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195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Fine-Tuned Only</w:t>
            </w:r>
          </w:p>
        </w:tc>
        <w:tc>
          <w:tcPr>
            <w:tcW w:type="dxa" w:w="210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RAG (Corrective RAG)</w:t>
            </w:r>
          </w:p>
        </w:tc>
        <w:tc>
          <w:tcPr>
            <w:tcW w:type="dxa" w:w="185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Absolute Gain</w:t>
            </w:r>
          </w:p>
        </w:tc>
        <w:tc>
          <w:tcPr>
            <w:tcW w:type="dxa" w:w="174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Relative Gain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ROUGE-1</w:t>
            </w:r>
          </w:p>
        </w:tc>
        <w:tc>
          <w:tcPr>
            <w:tcW w:type="dxa" w:w="195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0.2041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b/>
                <w:bCs/>
              </w:rPr>
              <w:t xml:space="preserve">0.2789</w:t>
            </w:r>
          </w:p>
        </w:tc>
        <w:tc>
          <w:tcPr>
            <w:tcW w:type="dxa" w:w="185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+0.0748</w:t>
            </w:r>
          </w:p>
        </w:tc>
        <w:tc>
          <w:tcPr>
            <w:tcW w:type="dxa" w:w="174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+36.6%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ROUGE-2</w:t>
            </w:r>
          </w:p>
        </w:tc>
        <w:tc>
          <w:tcPr>
            <w:tcW w:type="dxa" w:w="195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0.0693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b/>
                <w:bCs/>
              </w:rPr>
              <w:t xml:space="preserve">0.1051</w:t>
            </w:r>
          </w:p>
        </w:tc>
        <w:tc>
          <w:tcPr>
            <w:tcW w:type="dxa" w:w="185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+0.0358</w:t>
            </w:r>
          </w:p>
        </w:tc>
        <w:tc>
          <w:tcPr>
            <w:tcW w:type="dxa" w:w="174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+51.7%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ROUGE-L</w:t>
            </w:r>
          </w:p>
        </w:tc>
        <w:tc>
          <w:tcPr>
            <w:tcW w:type="dxa" w:w="195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0.1574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b/>
                <w:bCs/>
              </w:rPr>
              <w:t xml:space="preserve">0.2249</w:t>
            </w:r>
          </w:p>
        </w:tc>
        <w:tc>
          <w:tcPr>
            <w:tcW w:type="dxa" w:w="185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+0.0675</w:t>
            </w:r>
          </w:p>
        </w:tc>
        <w:tc>
          <w:tcPr>
            <w:tcW w:type="dxa" w:w="174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+42.9%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BERTScore F1</w:t>
            </w:r>
          </w:p>
        </w:tc>
        <w:tc>
          <w:tcPr>
            <w:tcW w:type="dxa" w:w="195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0.8711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b/>
                <w:bCs/>
              </w:rPr>
              <w:t xml:space="preserve">0.8842</w:t>
            </w:r>
          </w:p>
        </w:tc>
        <w:tc>
          <w:tcPr>
            <w:tcW w:type="dxa" w:w="185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+0.0131</w:t>
            </w:r>
          </w:p>
        </w:tc>
        <w:tc>
          <w:tcPr>
            <w:tcW w:type="dxa" w:w="174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+1.5%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Interpretation</w:t>
      </w:r>
    </w:p>
    <w:p>
      <w:pPr>
        <w:spacing w:after="160"/>
      </w:pPr>
      <w:r>
        <w:t xml:space="preserve">RAG improved every metric over the fine-tuned-only baseline, with the largest relative gains on n-gram overlap metrics: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ROUGE-1 (+36.6%) and ROUGE-L (+42.9%) show the RAG pipeline's answers share substantially more exact wording and phrase structure with the reference answers — consistent with retrieved context supplying concrete facts (symptoms, treatments) that the model can restate accurately rather than relying on parametric recall alone.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ROUGE-2 (+51.7%) shows the largest relative jump of any metric, indicating RAG-generated answers preserve more correct two-word medical phrasing (e.g. specific symptom-treatment pairings) than the fine-tuned model alone.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BERTScore F1 (+1.5%) shows a smaller but still positive gain, which is expected: BERTScore measures semantic similarity rather than exact wording, and the fine-tuned model already scores highly (0.8711) on this axis since QLoRA fine-tuning taught it the general shape and vocabulary of correct medical answers. RAG's contribution here is refining factual specificity on top of already-reasonable semantic alignment, not correcting a semantically incoherent baseline.</w:t>
      </w:r>
    </w:p>
    <w:p>
      <w:pPr>
        <w:spacing w:after="160"/>
      </w:pPr>
      <w:r>
        <w:t xml:space="preserve">Together, these results support the core claim of the Corrective RAG design: grounding generation in retrieved, evaluated context measurably improves factual precision over a fine-tuned model answering from parametric knowledge alone, without a loss in fluency or semantic coherence.</w:t>
      </w:r>
    </w:p>
    <w:p>
      <w:pPr>
        <w:pStyle w:val="Heading1"/>
        <w:spacing w:after="150" w:before="300"/>
      </w:pPr>
      <w:r>
        <w:t xml:space="preserve">5. Conclusion</w:t>
      </w:r>
    </w:p>
    <w:p>
      <w:pPr>
        <w:spacing w:after="160"/>
      </w:pPr>
      <w:r>
        <w:t xml:space="preserve">The evaluation confirms that adding Corrective RAG on top of the fine-tuned BioMistral-7B model improves response quality on every measured metric for in-distribution medical queries. This result supports using the RAG-augmented pipeline as the primary answer-generation path in the deployed system, with the fine-tuned model's standalone performance retained as a fallback and as the baseline for this comparison.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2026-08-07T11:26:02.615Z</dcterms:created>
  <dcterms:modified xsi:type="dcterms:W3CDTF">2026-08-07T11:26:02.616Z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