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Сахно Алёна Юрьевна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  <w:r>
        <w:t xml:space="preserve"> </w:t>
      </w:r>
      <w:r>
        <w:t xml:space="preserve"># Теоретическое введение</w:t>
      </w:r>
    </w:p>
    <w:p>
      <w:pPr>
        <w:pStyle w:val="BodyText"/>
      </w:pP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  <w:r>
        <w:t xml:space="preserve"> </w:t>
      </w: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  <w:r>
        <w:t xml:space="preserve"> </w:t>
      </w: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  <w:r>
        <w:t xml:space="preserve"> </w:t>
      </w: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  <w:r>
        <w:t xml:space="preserve"> </w:t>
      </w: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  <w:r>
        <w:t xml:space="preserve"> </w:t>
      </w:r>
      <w:r>
        <w:t xml:space="preserve">Определение 6. Точка вставки — место вставки (удаления) данных в буфере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Открыть emacs</w:t>
      </w:r>
    </w:p>
    <w:p>
      <w:pPr>
        <w:pStyle w:val="FirstParagraph"/>
      </w:pPr>
      <w:r>
        <w:t xml:space="preserve">(рис. 1).</w:t>
      </w:r>
    </w:p>
    <w:bookmarkStart w:id="24" w:name="fig:001"/>
    <w:p>
      <w:pPr>
        <w:pStyle w:val="CaptionedFigure"/>
      </w:pPr>
      <w:r>
        <w:drawing>
          <wp:inline>
            <wp:extent cx="3733800" cy="2804933"/>
            <wp:effectExtent b="0" l="0" r="0" t="0"/>
            <wp:docPr descr="Рис. 1: Открыть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Открыть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2"/>
        </w:numPr>
      </w:pPr>
      <w:r>
        <w:t xml:space="preserve">Наберите текст:</w:t>
      </w:r>
    </w:p>
    <w:p>
      <w:pPr>
        <w:pStyle w:val="FirstParagraph"/>
      </w:pPr>
      <w:r>
        <w:t xml:space="preserve">(рис. 2).</w:t>
      </w:r>
    </w:p>
    <w:bookmarkStart w:id="28" w:name="fig:002"/>
    <w:p>
      <w:pPr>
        <w:pStyle w:val="CaptionedFigure"/>
      </w:pPr>
      <w:r>
        <w:drawing>
          <wp:inline>
            <wp:extent cx="3733800" cy="2720340"/>
            <wp:effectExtent b="0" l="0" r="0" t="0"/>
            <wp:docPr descr="Рис. 2: Открыть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Открыть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3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3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3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pStyle w:val="Compact"/>
        <w:numPr>
          <w:ilvl w:val="0"/>
          <w:numId w:val="1003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</w:t>
      </w:r>
      <w:r>
        <w:t xml:space="preserve"> </w:t>
      </w: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pStyle w:val="Compact"/>
        <w:numPr>
          <w:ilvl w:val="0"/>
          <w:numId w:val="1003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p>
      <w:pPr>
        <w:pStyle w:val="FirstParagraph"/>
      </w:pPr>
      <w:r>
        <w:t xml:space="preserve">(рис. 3).</w:t>
      </w:r>
    </w:p>
    <w:bookmarkStart w:id="32" w:name="fig:003"/>
    <w:p>
      <w:pPr>
        <w:pStyle w:val="CaptionedFigure"/>
      </w:pPr>
      <w:r>
        <w:drawing>
          <wp:inline>
            <wp:extent cx="3124200" cy="2895600"/>
            <wp:effectExtent b="0" l="0" r="0" t="0"/>
            <wp:docPr descr="Рис. 3: л/р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л/р</w:t>
      </w:r>
    </w:p>
    <w:bookmarkEnd w:id="32"/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познакомилась с операционной системой Linux. Получила практические навыки работы с редактором Emacs</w:t>
      </w:r>
    </w:p>
    <w:bookmarkEnd w:id="34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Сахно Алёна Юрьевна</dc:creator>
  <dc:language>ru-RU</dc:language>
  <cp:keywords/>
  <dcterms:created xsi:type="dcterms:W3CDTF">2025-04-25T22:44:32Z</dcterms:created>
  <dcterms:modified xsi:type="dcterms:W3CDTF">2025-04-25T22:44:32Z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