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80293B" w14:textId="77777777" w:rsidR="00862FD3" w:rsidRPr="00862FD3" w:rsidRDefault="00862FD3" w:rsidP="00862FD3">
      <w:pPr>
        <w:spacing w:line="480" w:lineRule="auto"/>
        <w:contextualSpacing/>
        <w:rPr>
          <w:rFonts w:ascii="Calibri" w:hAnsi="Calibri" w:cs="Calibri"/>
          <w:sz w:val="24"/>
          <w:szCs w:val="24"/>
        </w:rPr>
      </w:pPr>
      <w:r w:rsidRPr="00862FD3">
        <w:rPr>
          <w:rFonts w:ascii="Calibri" w:hAnsi="Calibri" w:cs="Calibri"/>
          <w:sz w:val="24"/>
          <w:szCs w:val="24"/>
        </w:rPr>
        <w:t>Given the provided data, what are three conclusions that we can draw about crowdfunding campaigns?</w:t>
      </w:r>
    </w:p>
    <w:p w14:paraId="28527027" w14:textId="1F2FED41" w:rsidR="00862FD3" w:rsidRPr="00862FD3" w:rsidRDefault="00862FD3" w:rsidP="00862FD3">
      <w:pPr>
        <w:numPr>
          <w:ilvl w:val="0"/>
          <w:numId w:val="1"/>
        </w:numPr>
        <w:spacing w:line="480" w:lineRule="auto"/>
        <w:contextualSpacing/>
        <w:rPr>
          <w:rFonts w:ascii="Calibri" w:hAnsi="Calibri" w:cs="Calibri"/>
          <w:sz w:val="24"/>
          <w:szCs w:val="24"/>
        </w:rPr>
      </w:pPr>
      <w:r w:rsidRPr="00862FD3">
        <w:rPr>
          <w:rFonts w:ascii="Calibri" w:hAnsi="Calibri" w:cs="Calibri"/>
          <w:sz w:val="24"/>
          <w:szCs w:val="24"/>
        </w:rPr>
        <w:t>The data shows that the theater category has a significantly higher number of successful campaigns compared to other categories, indicating a potentially high engagement or interest level in theater-related crowdfunding.</w:t>
      </w:r>
    </w:p>
    <w:p w14:paraId="7DA53DF7" w14:textId="0CAD8F6A" w:rsidR="00862FD3" w:rsidRPr="00862FD3" w:rsidRDefault="00862FD3" w:rsidP="00862FD3">
      <w:pPr>
        <w:numPr>
          <w:ilvl w:val="0"/>
          <w:numId w:val="1"/>
        </w:numPr>
        <w:spacing w:line="480" w:lineRule="auto"/>
        <w:contextualSpacing/>
        <w:rPr>
          <w:rFonts w:ascii="Calibri" w:hAnsi="Calibri" w:cs="Calibri"/>
          <w:sz w:val="24"/>
          <w:szCs w:val="24"/>
        </w:rPr>
      </w:pPr>
      <w:r w:rsidRPr="00862FD3">
        <w:rPr>
          <w:rFonts w:ascii="Calibri" w:hAnsi="Calibri" w:cs="Calibri"/>
          <w:sz w:val="24"/>
          <w:szCs w:val="24"/>
        </w:rPr>
        <w:t>A large number of campaigns across various categories have failed, with the music and film &amp; video categories showing particularly high numbers of unsuccessful attempts. This suggests that while these areas may be popular for campaigns, they also carry a high risk of not meeting their goals.</w:t>
      </w:r>
    </w:p>
    <w:p w14:paraId="34BA7754" w14:textId="6A61E81B" w:rsidR="00862FD3" w:rsidRPr="00862FD3" w:rsidRDefault="00862FD3" w:rsidP="00862FD3">
      <w:pPr>
        <w:numPr>
          <w:ilvl w:val="0"/>
          <w:numId w:val="1"/>
        </w:numPr>
        <w:spacing w:line="480" w:lineRule="auto"/>
        <w:contextualSpacing/>
        <w:rPr>
          <w:rFonts w:ascii="Calibri" w:hAnsi="Calibri" w:cs="Calibri"/>
          <w:sz w:val="24"/>
          <w:szCs w:val="24"/>
        </w:rPr>
      </w:pPr>
      <w:r w:rsidRPr="00862FD3">
        <w:rPr>
          <w:rFonts w:ascii="Calibri" w:hAnsi="Calibri" w:cs="Calibri"/>
          <w:sz w:val="24"/>
          <w:szCs w:val="24"/>
        </w:rPr>
        <w:t>The line graph indicates there might be seasonal trends affecting the success and failure of campaigns, with certain months showing peaks in failed campaigns. This could imply that timing is an important factor to consider when launching a crowdfunding campaign.</w:t>
      </w:r>
    </w:p>
    <w:p w14:paraId="7080A283" w14:textId="77777777" w:rsidR="00862FD3" w:rsidRPr="00862FD3" w:rsidRDefault="00862FD3" w:rsidP="00862FD3">
      <w:pPr>
        <w:spacing w:line="480" w:lineRule="auto"/>
        <w:contextualSpacing/>
        <w:rPr>
          <w:rFonts w:ascii="Calibri" w:hAnsi="Calibri" w:cs="Calibri"/>
          <w:b/>
          <w:bCs/>
          <w:sz w:val="24"/>
          <w:szCs w:val="24"/>
        </w:rPr>
      </w:pPr>
      <w:r w:rsidRPr="00862FD3">
        <w:rPr>
          <w:rFonts w:ascii="Calibri" w:hAnsi="Calibri" w:cs="Calibri"/>
          <w:b/>
          <w:bCs/>
          <w:sz w:val="24"/>
          <w:szCs w:val="24"/>
        </w:rPr>
        <w:t>What are some limitations of this dataset?</w:t>
      </w:r>
    </w:p>
    <w:p w14:paraId="56864C90" w14:textId="2FFCA33A" w:rsidR="00862FD3" w:rsidRPr="00862FD3" w:rsidRDefault="00862FD3" w:rsidP="00862FD3">
      <w:pPr>
        <w:numPr>
          <w:ilvl w:val="0"/>
          <w:numId w:val="2"/>
        </w:numPr>
        <w:spacing w:line="480" w:lineRule="auto"/>
        <w:contextualSpacing/>
        <w:rPr>
          <w:rFonts w:ascii="Calibri" w:hAnsi="Calibri" w:cs="Calibri"/>
          <w:sz w:val="24"/>
          <w:szCs w:val="24"/>
        </w:rPr>
      </w:pPr>
      <w:r w:rsidRPr="00862FD3">
        <w:rPr>
          <w:rFonts w:ascii="Calibri" w:hAnsi="Calibri" w:cs="Calibri"/>
          <w:sz w:val="24"/>
          <w:szCs w:val="24"/>
        </w:rPr>
        <w:t>The dataset provides counts of outcomes by category but doesn't include information on why campaigns were successful or not. Factors such as marketing efforts, quality of pitch, or economic conditions are not accounted for.</w:t>
      </w:r>
    </w:p>
    <w:p w14:paraId="793413E4" w14:textId="0A0EB10E" w:rsidR="00862FD3" w:rsidRPr="00862FD3" w:rsidRDefault="00862FD3" w:rsidP="00862FD3">
      <w:pPr>
        <w:numPr>
          <w:ilvl w:val="0"/>
          <w:numId w:val="2"/>
        </w:numPr>
        <w:spacing w:line="480" w:lineRule="auto"/>
        <w:contextualSpacing/>
        <w:rPr>
          <w:rFonts w:ascii="Calibri" w:hAnsi="Calibri" w:cs="Calibri"/>
          <w:sz w:val="24"/>
          <w:szCs w:val="24"/>
        </w:rPr>
      </w:pPr>
      <w:r w:rsidRPr="00862FD3">
        <w:rPr>
          <w:rFonts w:ascii="Calibri" w:hAnsi="Calibri" w:cs="Calibri"/>
          <w:sz w:val="24"/>
          <w:szCs w:val="24"/>
        </w:rPr>
        <w:t>The data seems to be a static snapshot and doesn't show changes over time beyond the monthly success and failure rates. It doesn’t account for long-term trends or shifts in crowdfunding dynamics.</w:t>
      </w:r>
    </w:p>
    <w:p w14:paraId="5DEBFB07" w14:textId="70AB1669" w:rsidR="00862FD3" w:rsidRPr="00862FD3" w:rsidRDefault="00862FD3" w:rsidP="00862FD3">
      <w:pPr>
        <w:numPr>
          <w:ilvl w:val="0"/>
          <w:numId w:val="2"/>
        </w:numPr>
        <w:spacing w:line="480" w:lineRule="auto"/>
        <w:contextualSpacing/>
        <w:rPr>
          <w:rFonts w:ascii="Calibri" w:hAnsi="Calibri" w:cs="Calibri"/>
          <w:sz w:val="24"/>
          <w:szCs w:val="24"/>
        </w:rPr>
      </w:pPr>
      <w:r w:rsidRPr="00862FD3">
        <w:rPr>
          <w:rFonts w:ascii="Calibri" w:hAnsi="Calibri" w:cs="Calibri"/>
          <w:sz w:val="24"/>
          <w:szCs w:val="24"/>
        </w:rPr>
        <w:t>There is no demographic information about the campaign creators or backers, which would be useful to understand the target audience and the community's support patterns.</w:t>
      </w:r>
    </w:p>
    <w:p w14:paraId="11E762FE" w14:textId="4A0887CA" w:rsidR="00862FD3" w:rsidRPr="00862FD3" w:rsidRDefault="00862FD3" w:rsidP="00862FD3">
      <w:pPr>
        <w:numPr>
          <w:ilvl w:val="0"/>
          <w:numId w:val="2"/>
        </w:numPr>
        <w:spacing w:line="480" w:lineRule="auto"/>
        <w:contextualSpacing/>
        <w:rPr>
          <w:rFonts w:ascii="Calibri" w:hAnsi="Calibri" w:cs="Calibri"/>
          <w:sz w:val="24"/>
          <w:szCs w:val="24"/>
        </w:rPr>
      </w:pPr>
      <w:r w:rsidRPr="00862FD3">
        <w:rPr>
          <w:rFonts w:ascii="Calibri" w:hAnsi="Calibri" w:cs="Calibri"/>
          <w:sz w:val="24"/>
          <w:szCs w:val="24"/>
        </w:rPr>
        <w:lastRenderedPageBreak/>
        <w:t>Detailed financial data such as average donation amounts, requested amounts versus actual funds raised, and stretch goals are not visible. This information could provide deeper insights into funding patterns.</w:t>
      </w:r>
    </w:p>
    <w:p w14:paraId="74CD7739" w14:textId="77777777" w:rsidR="00862FD3" w:rsidRPr="00862FD3" w:rsidRDefault="00862FD3" w:rsidP="00862FD3">
      <w:pPr>
        <w:spacing w:line="480" w:lineRule="auto"/>
        <w:contextualSpacing/>
        <w:rPr>
          <w:rFonts w:ascii="Calibri" w:hAnsi="Calibri" w:cs="Calibri"/>
          <w:b/>
          <w:bCs/>
          <w:sz w:val="24"/>
          <w:szCs w:val="24"/>
        </w:rPr>
      </w:pPr>
      <w:r w:rsidRPr="00862FD3">
        <w:rPr>
          <w:rFonts w:ascii="Calibri" w:hAnsi="Calibri" w:cs="Calibri"/>
          <w:b/>
          <w:bCs/>
          <w:sz w:val="24"/>
          <w:szCs w:val="24"/>
        </w:rPr>
        <w:t>What are some other possible tables and/or graphs that we could create, and what additional value would they provide?</w:t>
      </w:r>
    </w:p>
    <w:p w14:paraId="0659D1A8" w14:textId="396055B3" w:rsidR="00862FD3" w:rsidRPr="00862FD3" w:rsidRDefault="00862FD3" w:rsidP="00862FD3">
      <w:pPr>
        <w:numPr>
          <w:ilvl w:val="0"/>
          <w:numId w:val="3"/>
        </w:numPr>
        <w:spacing w:line="480" w:lineRule="auto"/>
        <w:contextualSpacing/>
        <w:rPr>
          <w:rFonts w:ascii="Calibri" w:hAnsi="Calibri" w:cs="Calibri"/>
          <w:sz w:val="24"/>
          <w:szCs w:val="24"/>
        </w:rPr>
      </w:pPr>
      <w:r w:rsidRPr="00862FD3">
        <w:rPr>
          <w:rFonts w:ascii="Calibri" w:hAnsi="Calibri" w:cs="Calibri"/>
          <w:sz w:val="24"/>
          <w:szCs w:val="24"/>
        </w:rPr>
        <w:t>A table analyzing the average number of backers per category against the average pledged amount could reveal which categories have the most engaged or generous backers.</w:t>
      </w:r>
    </w:p>
    <w:p w14:paraId="3ECCBC46" w14:textId="3FC47AD6" w:rsidR="00862FD3" w:rsidRPr="00862FD3" w:rsidRDefault="00862FD3" w:rsidP="00862FD3">
      <w:pPr>
        <w:numPr>
          <w:ilvl w:val="0"/>
          <w:numId w:val="3"/>
        </w:numPr>
        <w:spacing w:line="480" w:lineRule="auto"/>
        <w:contextualSpacing/>
        <w:rPr>
          <w:rFonts w:ascii="Calibri" w:hAnsi="Calibri" w:cs="Calibri"/>
          <w:sz w:val="24"/>
          <w:szCs w:val="24"/>
        </w:rPr>
      </w:pPr>
      <w:r w:rsidRPr="00862FD3">
        <w:rPr>
          <w:rFonts w:ascii="Calibri" w:hAnsi="Calibri" w:cs="Calibri"/>
          <w:sz w:val="24"/>
          <w:szCs w:val="24"/>
        </w:rPr>
        <w:t>A graph showing the average duration of campaigns against the success rate could provide insights into whether shorter or longer campaigns tend to be more successful.</w:t>
      </w:r>
    </w:p>
    <w:p w14:paraId="4F5FA3A5" w14:textId="6FA9302B" w:rsidR="00862FD3" w:rsidRPr="00862FD3" w:rsidRDefault="00862FD3" w:rsidP="00862FD3">
      <w:pPr>
        <w:numPr>
          <w:ilvl w:val="0"/>
          <w:numId w:val="3"/>
        </w:numPr>
        <w:spacing w:line="480" w:lineRule="auto"/>
        <w:contextualSpacing/>
        <w:rPr>
          <w:rFonts w:ascii="Calibri" w:hAnsi="Calibri" w:cs="Calibri"/>
          <w:sz w:val="24"/>
          <w:szCs w:val="24"/>
        </w:rPr>
      </w:pPr>
      <w:r w:rsidRPr="00862FD3">
        <w:rPr>
          <w:rFonts w:ascii="Calibri" w:hAnsi="Calibri" w:cs="Calibri"/>
          <w:sz w:val="24"/>
          <w:szCs w:val="24"/>
        </w:rPr>
        <w:t>A table or graph analyzing the success rate of first-time campaigners versus repeat campaigners could uncover if experience in crowdfunding contributes to success.</w:t>
      </w:r>
    </w:p>
    <w:p w14:paraId="2315BF18" w14:textId="48A9C5F3" w:rsidR="00862FD3" w:rsidRPr="00862FD3" w:rsidRDefault="00862FD3" w:rsidP="00862FD3">
      <w:pPr>
        <w:numPr>
          <w:ilvl w:val="0"/>
          <w:numId w:val="3"/>
        </w:numPr>
        <w:spacing w:line="480" w:lineRule="auto"/>
        <w:contextualSpacing/>
        <w:rPr>
          <w:rFonts w:ascii="Calibri" w:hAnsi="Calibri" w:cs="Calibri"/>
          <w:sz w:val="24"/>
          <w:szCs w:val="24"/>
        </w:rPr>
      </w:pPr>
      <w:r w:rsidRPr="00862FD3">
        <w:rPr>
          <w:rFonts w:ascii="Calibri" w:hAnsi="Calibri" w:cs="Calibri"/>
          <w:sz w:val="24"/>
          <w:szCs w:val="24"/>
        </w:rPr>
        <w:t>A heat map of campaign successes and failures by region or country could highlight geographic trends in crowdfunding success, indicating potential cultural or economic influences.</w:t>
      </w:r>
    </w:p>
    <w:p w14:paraId="31A3982A" w14:textId="510E8B99" w:rsidR="00CE5008" w:rsidRPr="00862FD3" w:rsidRDefault="00CE5008" w:rsidP="00862FD3">
      <w:pPr>
        <w:spacing w:line="480" w:lineRule="auto"/>
        <w:contextualSpacing/>
        <w:rPr>
          <w:rFonts w:ascii="Calibri" w:hAnsi="Calibri" w:cs="Calibri"/>
          <w:sz w:val="24"/>
          <w:szCs w:val="24"/>
        </w:rPr>
      </w:pPr>
    </w:p>
    <w:sectPr w:rsidR="00CE5008" w:rsidRPr="00862F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C37BE6"/>
    <w:multiLevelType w:val="multilevel"/>
    <w:tmpl w:val="399A388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CE343F"/>
    <w:multiLevelType w:val="multilevel"/>
    <w:tmpl w:val="0D50017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A7014B"/>
    <w:multiLevelType w:val="multilevel"/>
    <w:tmpl w:val="D996D0A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7160665">
    <w:abstractNumId w:val="2"/>
  </w:num>
  <w:num w:numId="2" w16cid:durableId="1815830999">
    <w:abstractNumId w:val="0"/>
  </w:num>
  <w:num w:numId="3" w16cid:durableId="20598179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FD3"/>
    <w:rsid w:val="00862FD3"/>
    <w:rsid w:val="00CE50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21B454"/>
  <w15:chartTrackingRefBased/>
  <w15:docId w15:val="{69F9E396-ECF1-44FD-862C-51EFD6558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2F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2F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2F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2F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2F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2F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2F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2F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2F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2F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2F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2F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2F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2F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2F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2F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2F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2FD3"/>
    <w:rPr>
      <w:rFonts w:eastAsiaTheme="majorEastAsia" w:cstheme="majorBidi"/>
      <w:color w:val="272727" w:themeColor="text1" w:themeTint="D8"/>
    </w:rPr>
  </w:style>
  <w:style w:type="paragraph" w:styleId="Title">
    <w:name w:val="Title"/>
    <w:basedOn w:val="Normal"/>
    <w:next w:val="Normal"/>
    <w:link w:val="TitleChar"/>
    <w:uiPriority w:val="10"/>
    <w:qFormat/>
    <w:rsid w:val="00862F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2F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2F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2F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2FD3"/>
    <w:pPr>
      <w:spacing w:before="160"/>
      <w:jc w:val="center"/>
    </w:pPr>
    <w:rPr>
      <w:i/>
      <w:iCs/>
      <w:color w:val="404040" w:themeColor="text1" w:themeTint="BF"/>
    </w:rPr>
  </w:style>
  <w:style w:type="character" w:customStyle="1" w:styleId="QuoteChar">
    <w:name w:val="Quote Char"/>
    <w:basedOn w:val="DefaultParagraphFont"/>
    <w:link w:val="Quote"/>
    <w:uiPriority w:val="29"/>
    <w:rsid w:val="00862FD3"/>
    <w:rPr>
      <w:i/>
      <w:iCs/>
      <w:color w:val="404040" w:themeColor="text1" w:themeTint="BF"/>
    </w:rPr>
  </w:style>
  <w:style w:type="paragraph" w:styleId="ListParagraph">
    <w:name w:val="List Paragraph"/>
    <w:basedOn w:val="Normal"/>
    <w:uiPriority w:val="34"/>
    <w:qFormat/>
    <w:rsid w:val="00862FD3"/>
    <w:pPr>
      <w:ind w:left="720"/>
      <w:contextualSpacing/>
    </w:pPr>
  </w:style>
  <w:style w:type="character" w:styleId="IntenseEmphasis">
    <w:name w:val="Intense Emphasis"/>
    <w:basedOn w:val="DefaultParagraphFont"/>
    <w:uiPriority w:val="21"/>
    <w:qFormat/>
    <w:rsid w:val="00862FD3"/>
    <w:rPr>
      <w:i/>
      <w:iCs/>
      <w:color w:val="0F4761" w:themeColor="accent1" w:themeShade="BF"/>
    </w:rPr>
  </w:style>
  <w:style w:type="paragraph" w:styleId="IntenseQuote">
    <w:name w:val="Intense Quote"/>
    <w:basedOn w:val="Normal"/>
    <w:next w:val="Normal"/>
    <w:link w:val="IntenseQuoteChar"/>
    <w:uiPriority w:val="30"/>
    <w:qFormat/>
    <w:rsid w:val="00862F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2FD3"/>
    <w:rPr>
      <w:i/>
      <w:iCs/>
      <w:color w:val="0F4761" w:themeColor="accent1" w:themeShade="BF"/>
    </w:rPr>
  </w:style>
  <w:style w:type="character" w:styleId="IntenseReference">
    <w:name w:val="Intense Reference"/>
    <w:basedOn w:val="DefaultParagraphFont"/>
    <w:uiPriority w:val="32"/>
    <w:qFormat/>
    <w:rsid w:val="00862FD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3507777">
      <w:bodyDiv w:val="1"/>
      <w:marLeft w:val="0"/>
      <w:marRight w:val="0"/>
      <w:marTop w:val="0"/>
      <w:marBottom w:val="0"/>
      <w:divBdr>
        <w:top w:val="none" w:sz="0" w:space="0" w:color="auto"/>
        <w:left w:val="none" w:sz="0" w:space="0" w:color="auto"/>
        <w:bottom w:val="none" w:sz="0" w:space="0" w:color="auto"/>
        <w:right w:val="none" w:sz="0" w:space="0" w:color="auto"/>
      </w:divBdr>
    </w:div>
    <w:div w:id="1563177961">
      <w:bodyDiv w:val="1"/>
      <w:marLeft w:val="0"/>
      <w:marRight w:val="0"/>
      <w:marTop w:val="0"/>
      <w:marBottom w:val="0"/>
      <w:divBdr>
        <w:top w:val="none" w:sz="0" w:space="0" w:color="auto"/>
        <w:left w:val="none" w:sz="0" w:space="0" w:color="auto"/>
        <w:bottom w:val="none" w:sz="0" w:space="0" w:color="auto"/>
        <w:right w:val="none" w:sz="0" w:space="0" w:color="auto"/>
      </w:divBdr>
    </w:div>
    <w:div w:id="1975405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395</Words>
  <Characters>2122</Characters>
  <Application>Microsoft Office Word</Application>
  <DocSecurity>0</DocSecurity>
  <Lines>68</Lines>
  <Paragraphs>35</Paragraphs>
  <ScaleCrop>false</ScaleCrop>
  <Company/>
  <LinksUpToDate>false</LinksUpToDate>
  <CharactersWithSpaces>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Pius Kimathi</dc:creator>
  <cp:keywords/>
  <dc:description/>
  <cp:lastModifiedBy>Pius Kimathi</cp:lastModifiedBy>
  <cp:revision>1</cp:revision>
  <dcterms:created xsi:type="dcterms:W3CDTF">2023-12-18T15:26:00Z</dcterms:created>
  <dcterms:modified xsi:type="dcterms:W3CDTF">2023-12-18T15:30:00Z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218cbdb2-c5cd-4b14-b9ac-88c759f65440</vt:lpwstr>
  </property>
</Properties>
</file>