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EC89E" w14:textId="77777777" w:rsidR="00DF22A8" w:rsidRDefault="00DF22A8">
      <w:pPr>
        <w:jc w:val="center"/>
        <w:rPr>
          <w:b/>
          <w:sz w:val="40"/>
        </w:rPr>
      </w:pPr>
    </w:p>
    <w:p w14:paraId="46F461DE" w14:textId="77777777" w:rsidR="00DF22A8" w:rsidRDefault="00DF22A8">
      <w:pPr>
        <w:jc w:val="center"/>
        <w:rPr>
          <w:b/>
          <w:sz w:val="40"/>
        </w:rPr>
      </w:pPr>
    </w:p>
    <w:p w14:paraId="51DD7295" w14:textId="77777777" w:rsidR="00DF22A8" w:rsidRDefault="00DF22A8">
      <w:pPr>
        <w:jc w:val="center"/>
        <w:rPr>
          <w:b/>
          <w:sz w:val="40"/>
        </w:rPr>
      </w:pPr>
    </w:p>
    <w:p w14:paraId="059829C4" w14:textId="77777777" w:rsidR="00DF22A8" w:rsidRDefault="00DF22A8">
      <w:pPr>
        <w:jc w:val="center"/>
        <w:rPr>
          <w:b/>
          <w:sz w:val="40"/>
        </w:rPr>
      </w:pPr>
    </w:p>
    <w:p w14:paraId="0793FA03" w14:textId="77777777" w:rsidR="00DF22A8" w:rsidRDefault="00DF22A8">
      <w:pPr>
        <w:jc w:val="center"/>
        <w:rPr>
          <w:b/>
          <w:sz w:val="40"/>
        </w:rPr>
      </w:pPr>
    </w:p>
    <w:p w14:paraId="1982B90B" w14:textId="77777777" w:rsidR="00DF22A8" w:rsidRDefault="00DF22A8">
      <w:pPr>
        <w:jc w:val="center"/>
        <w:rPr>
          <w:b/>
          <w:sz w:val="40"/>
        </w:rPr>
      </w:pPr>
    </w:p>
    <w:p w14:paraId="419F3C9B" w14:textId="77777777" w:rsidR="00DF22A8" w:rsidRDefault="00DF22A8" w:rsidP="00DF22A8">
      <w:pPr>
        <w:rPr>
          <w:b/>
          <w:sz w:val="40"/>
        </w:rPr>
      </w:pPr>
    </w:p>
    <w:p w14:paraId="4378B556" w14:textId="711805B1" w:rsidR="004E65E6" w:rsidRDefault="00000000">
      <w:pPr>
        <w:jc w:val="center"/>
      </w:pPr>
      <w:r>
        <w:rPr>
          <w:b/>
          <w:sz w:val="40"/>
        </w:rPr>
        <w:t>WEEK 2 INTERNSHIP REPORT</w:t>
      </w:r>
    </w:p>
    <w:p w14:paraId="08D18893" w14:textId="77777777" w:rsidR="004E65E6" w:rsidRDefault="00000000">
      <w:pPr>
        <w:jc w:val="center"/>
      </w:pPr>
      <w:r>
        <w:rPr>
          <w:b/>
          <w:sz w:val="36"/>
        </w:rPr>
        <w:t>Strategic Income Tax Planning and Analysis</w:t>
      </w:r>
    </w:p>
    <w:p w14:paraId="69712B31" w14:textId="77777777" w:rsidR="004E65E6" w:rsidRDefault="004E65E6"/>
    <w:p w14:paraId="3592F50E" w14:textId="77777777" w:rsidR="004E65E6" w:rsidRDefault="00000000">
      <w:pPr>
        <w:jc w:val="center"/>
      </w:pPr>
      <w:r>
        <w:t>Virtual Income Tax Analysis Intern</w:t>
      </w:r>
    </w:p>
    <w:p w14:paraId="61CFF665" w14:textId="77777777" w:rsidR="004E65E6" w:rsidRDefault="00000000">
      <w:pPr>
        <w:jc w:val="center"/>
      </w:pPr>
      <w:r>
        <w:t>Hypothetical Case Study: Electronics Components Business</w:t>
      </w:r>
    </w:p>
    <w:p w14:paraId="022C7881" w14:textId="77777777" w:rsidR="004E65E6" w:rsidRDefault="00000000">
      <w:pPr>
        <w:jc w:val="center"/>
      </w:pPr>
      <w:r>
        <w:t>Prepared for: YUVO Intern</w:t>
      </w:r>
    </w:p>
    <w:p w14:paraId="2D1AA85E" w14:textId="77777777" w:rsidR="004E65E6" w:rsidRDefault="00000000">
      <w:r>
        <w:br w:type="page"/>
      </w:r>
    </w:p>
    <w:p w14:paraId="72B9EB9F" w14:textId="77777777" w:rsidR="004E65E6" w:rsidRDefault="00000000">
      <w:pPr>
        <w:pStyle w:val="Heading1"/>
      </w:pPr>
      <w:r>
        <w:lastRenderedPageBreak/>
        <w:t>Executive Summary</w:t>
      </w:r>
    </w:p>
    <w:p w14:paraId="61912BEB" w14:textId="77777777" w:rsidR="004E65E6" w:rsidRDefault="00000000">
      <w:r>
        <w:t>This report develops a strategic income-tax planning framework for a hypothetical Indian electronics-components business. The purpose is not to create aggressive tax-avoidance arrangements, but to demonstrate how a business can legally manage its tax position through accurate classification of income and expenditure, timely compliance, careful choice of available tax provisions, capital-investment planning, documentation, and periodic review. The analysis uses a simulated domestic company, Apex Electronics Components Private Limited, operating in the electronics and hardware sector.</w:t>
      </w:r>
    </w:p>
    <w:p w14:paraId="194ECBA3" w14:textId="77777777" w:rsidR="004E65E6" w:rsidRDefault="00000000">
      <w:r>
        <w:t>The case assumes annual turnover of ₹12 crore and accounting profit before tax of ₹1.80 crore for the planning year. The central strategic question is whether the company should evaluate the concessional corporate tax option under section 115BAA, alongside operational measures such as documented business expenditure, depreciation planning, supplier-payment controls, inventory reconciliation, tax-calendar management and professional review. The Income Tax Department states that eligible domestic companies opting for section 115BAA can be taxed at 22%, subject to the statutory conditions, and that Form 10-IC must be filed by the applicable return due date. citeturn3search6</w:t>
      </w:r>
    </w:p>
    <w:p w14:paraId="7EE6E9F4" w14:textId="77777777" w:rsidR="004E65E6" w:rsidRDefault="00000000">
      <w:r>
        <w:t>A simplified calculation in this report illustrates the potential tax effect of the 22% rate compared with a 25% rate, before considering every company-specific adjustment. On the assumed ₹1.80 crore taxable income, the base tax at 22% is ₹39.60 lakh. With a 10% surcharge and 4% health and education cess, the illustrative liability is approximately ₹45.14 lakh. At 25%, the corresponding illustrative amount is approximately ₹50.22 lakh when the 7% surcharge and 4% cess are applied. The difference is approximately ₹5.08 lakh. This is a scenario illustration, not a filing computation.</w:t>
      </w:r>
    </w:p>
    <w:p w14:paraId="7BAA2940" w14:textId="77777777" w:rsidR="004E65E6" w:rsidRDefault="00000000">
      <w:r>
        <w:t>The report also identifies risks. A tax-saving strategy can fail if the business claims expenses without adequate evidence, ignores related-party rules, misses payment deadlines, misclassifies capital and revenue expenditure, or chooses a concessional regime without evaluating the deductions it gives up. The recommended implementation roadmap therefore combines tax optimization with compliance controls, management review, documentation and periodic monitoring.</w:t>
      </w:r>
    </w:p>
    <w:p w14:paraId="49FD86F1" w14:textId="77777777" w:rsidR="004E65E6" w:rsidRDefault="00000000">
      <w:pPr>
        <w:pStyle w:val="Heading1"/>
      </w:pPr>
      <w:r>
        <w:t>1. Introduction to Strategic Income-Tax Planning</w:t>
      </w:r>
    </w:p>
    <w:p w14:paraId="1E2EADC9" w14:textId="77777777" w:rsidR="004E65E6" w:rsidRDefault="00000000">
      <w:r>
        <w:t>Tax planning is the structured process of arranging legitimate business and financial activities so that the taxpayer meets legal obligations while making appropriate use of deductions, allowances, tax rates, timing rules and other reliefs provided by legislation. It is different from tax evasion, which involves illegal concealment or misrepresentation. Effective planning begins with commercial objectives and then considers the tax consequences of decisions that the business would otherwise make.</w:t>
      </w:r>
    </w:p>
    <w:p w14:paraId="7FCDB083" w14:textId="77777777" w:rsidR="004E65E6" w:rsidRDefault="00000000">
      <w:r>
        <w:t>For a business, tax planning is closely connected with accounting, treasury, procurement, capital expenditure, payroll, inventory and corporate governance. A decision to purchase machinery, lease equipment, retain earnings, expand a warehouse, hire employees or change financing can affect taxable profit and cash flow. The tax function should therefore participate in planning before transactions occur rather than only checking tax after the financial year has ended.</w:t>
      </w:r>
    </w:p>
    <w:p w14:paraId="10F99026" w14:textId="77777777" w:rsidR="004E65E6" w:rsidRDefault="00000000">
      <w:pPr>
        <w:pStyle w:val="Heading1"/>
      </w:pPr>
      <w:r>
        <w:lastRenderedPageBreak/>
        <w:t>2. Case Study: Apex Electronics Components Private Limited</w:t>
      </w:r>
    </w:p>
    <w:p w14:paraId="511BAD56" w14:textId="77777777" w:rsidR="004E65E6" w:rsidRDefault="00000000">
      <w:r>
        <w:t>Apex Electronics Components Private Limited is a hypothetical domestic company based in Hyderabad. It manufactures and distributes electronic control boards, connectors and small hardware components to business customers. It is assumed to have regular domestic sales, a small export trial, employees, leased office space, production equipment, inventory and vendor relationships with several micro and small enterprises.</w:t>
      </w:r>
    </w:p>
    <w:tbl>
      <w:tblPr>
        <w:tblStyle w:val="TableGrid"/>
        <w:tblW w:w="0" w:type="auto"/>
        <w:jc w:val="center"/>
        <w:tblLook w:val="04A0" w:firstRow="1" w:lastRow="0" w:firstColumn="1" w:lastColumn="0" w:noHBand="0" w:noVBand="1"/>
      </w:tblPr>
      <w:tblGrid>
        <w:gridCol w:w="4968"/>
        <w:gridCol w:w="4968"/>
      </w:tblGrid>
      <w:tr w:rsidR="004E65E6" w14:paraId="7E16D082" w14:textId="77777777">
        <w:trPr>
          <w:jc w:val="center"/>
        </w:trPr>
        <w:tc>
          <w:tcPr>
            <w:tcW w:w="4968" w:type="dxa"/>
            <w:shd w:val="clear" w:color="auto" w:fill="EAF2F8"/>
            <w:vAlign w:val="center"/>
          </w:tcPr>
          <w:p w14:paraId="2DD5AA8A" w14:textId="77777777" w:rsidR="004E65E6" w:rsidRDefault="00000000">
            <w:r>
              <w:rPr>
                <w:b/>
                <w:sz w:val="18"/>
              </w:rPr>
              <w:t>Case variable</w:t>
            </w:r>
          </w:p>
        </w:tc>
        <w:tc>
          <w:tcPr>
            <w:tcW w:w="4968" w:type="dxa"/>
            <w:shd w:val="clear" w:color="auto" w:fill="EAF2F8"/>
            <w:vAlign w:val="center"/>
          </w:tcPr>
          <w:p w14:paraId="78FC31FE" w14:textId="77777777" w:rsidR="004E65E6" w:rsidRDefault="00000000">
            <w:r>
              <w:rPr>
                <w:b/>
                <w:sz w:val="18"/>
              </w:rPr>
              <w:t>Assumption</w:t>
            </w:r>
          </w:p>
        </w:tc>
      </w:tr>
      <w:tr w:rsidR="004E65E6" w14:paraId="0F325F8F" w14:textId="77777777">
        <w:trPr>
          <w:jc w:val="center"/>
        </w:trPr>
        <w:tc>
          <w:tcPr>
            <w:tcW w:w="4968" w:type="dxa"/>
            <w:vAlign w:val="center"/>
          </w:tcPr>
          <w:p w14:paraId="4C4A1984" w14:textId="77777777" w:rsidR="004E65E6" w:rsidRDefault="00000000">
            <w:r>
              <w:rPr>
                <w:sz w:val="18"/>
              </w:rPr>
              <w:t>Business type</w:t>
            </w:r>
          </w:p>
        </w:tc>
        <w:tc>
          <w:tcPr>
            <w:tcW w:w="4968" w:type="dxa"/>
            <w:vAlign w:val="center"/>
          </w:tcPr>
          <w:p w14:paraId="51C1B465" w14:textId="77777777" w:rsidR="004E65E6" w:rsidRDefault="00000000">
            <w:r>
              <w:rPr>
                <w:sz w:val="18"/>
              </w:rPr>
              <w:t>Domestic company – electronics components</w:t>
            </w:r>
          </w:p>
        </w:tc>
      </w:tr>
      <w:tr w:rsidR="004E65E6" w14:paraId="42CB4B9F" w14:textId="77777777">
        <w:trPr>
          <w:jc w:val="center"/>
        </w:trPr>
        <w:tc>
          <w:tcPr>
            <w:tcW w:w="4968" w:type="dxa"/>
            <w:vAlign w:val="center"/>
          </w:tcPr>
          <w:p w14:paraId="1A88B4C3" w14:textId="77777777" w:rsidR="004E65E6" w:rsidRDefault="00000000">
            <w:r>
              <w:rPr>
                <w:sz w:val="18"/>
              </w:rPr>
              <w:t>Annual turnover</w:t>
            </w:r>
          </w:p>
        </w:tc>
        <w:tc>
          <w:tcPr>
            <w:tcW w:w="4968" w:type="dxa"/>
            <w:vAlign w:val="center"/>
          </w:tcPr>
          <w:p w14:paraId="098B5F15" w14:textId="77777777" w:rsidR="004E65E6" w:rsidRDefault="00000000">
            <w:r>
              <w:rPr>
                <w:sz w:val="18"/>
              </w:rPr>
              <w:t>₹12 crore</w:t>
            </w:r>
          </w:p>
        </w:tc>
      </w:tr>
      <w:tr w:rsidR="004E65E6" w14:paraId="5CC73384" w14:textId="77777777">
        <w:trPr>
          <w:jc w:val="center"/>
        </w:trPr>
        <w:tc>
          <w:tcPr>
            <w:tcW w:w="4968" w:type="dxa"/>
            <w:vAlign w:val="center"/>
          </w:tcPr>
          <w:p w14:paraId="0C20E5F0" w14:textId="77777777" w:rsidR="004E65E6" w:rsidRDefault="00000000">
            <w:r>
              <w:rPr>
                <w:sz w:val="18"/>
              </w:rPr>
              <w:t>Accounting profit before tax</w:t>
            </w:r>
          </w:p>
        </w:tc>
        <w:tc>
          <w:tcPr>
            <w:tcW w:w="4968" w:type="dxa"/>
            <w:vAlign w:val="center"/>
          </w:tcPr>
          <w:p w14:paraId="6521CD20" w14:textId="77777777" w:rsidR="004E65E6" w:rsidRDefault="00000000">
            <w:r>
              <w:rPr>
                <w:sz w:val="18"/>
              </w:rPr>
              <w:t>₹1.80 crore</w:t>
            </w:r>
          </w:p>
        </w:tc>
      </w:tr>
      <w:tr w:rsidR="004E65E6" w14:paraId="04B6D4E8" w14:textId="77777777">
        <w:trPr>
          <w:jc w:val="center"/>
        </w:trPr>
        <w:tc>
          <w:tcPr>
            <w:tcW w:w="4968" w:type="dxa"/>
            <w:vAlign w:val="center"/>
          </w:tcPr>
          <w:p w14:paraId="6110488F" w14:textId="77777777" w:rsidR="004E65E6" w:rsidRDefault="00000000">
            <w:r>
              <w:rPr>
                <w:sz w:val="18"/>
              </w:rPr>
              <w:t>Employees</w:t>
            </w:r>
          </w:p>
        </w:tc>
        <w:tc>
          <w:tcPr>
            <w:tcW w:w="4968" w:type="dxa"/>
            <w:vAlign w:val="center"/>
          </w:tcPr>
          <w:p w14:paraId="48BC8E95" w14:textId="77777777" w:rsidR="004E65E6" w:rsidRDefault="00000000">
            <w:r>
              <w:rPr>
                <w:sz w:val="18"/>
              </w:rPr>
              <w:t>45</w:t>
            </w:r>
          </w:p>
        </w:tc>
      </w:tr>
      <w:tr w:rsidR="004E65E6" w14:paraId="459F9D58" w14:textId="77777777">
        <w:trPr>
          <w:jc w:val="center"/>
        </w:trPr>
        <w:tc>
          <w:tcPr>
            <w:tcW w:w="4968" w:type="dxa"/>
            <w:vAlign w:val="center"/>
          </w:tcPr>
          <w:p w14:paraId="75127589" w14:textId="77777777" w:rsidR="004E65E6" w:rsidRDefault="00000000">
            <w:r>
              <w:rPr>
                <w:sz w:val="18"/>
              </w:rPr>
              <w:t>Major costs</w:t>
            </w:r>
          </w:p>
        </w:tc>
        <w:tc>
          <w:tcPr>
            <w:tcW w:w="4968" w:type="dxa"/>
            <w:vAlign w:val="center"/>
          </w:tcPr>
          <w:p w14:paraId="6033FDE1" w14:textId="77777777" w:rsidR="004E65E6" w:rsidRDefault="00000000">
            <w:r>
              <w:rPr>
                <w:sz w:val="18"/>
              </w:rPr>
              <w:t>Raw materials, salaries, rent, utilities, logistics and depreciation</w:t>
            </w:r>
          </w:p>
        </w:tc>
      </w:tr>
      <w:tr w:rsidR="004E65E6" w14:paraId="3C5B9E93" w14:textId="77777777">
        <w:trPr>
          <w:jc w:val="center"/>
        </w:trPr>
        <w:tc>
          <w:tcPr>
            <w:tcW w:w="4968" w:type="dxa"/>
            <w:vAlign w:val="center"/>
          </w:tcPr>
          <w:p w14:paraId="1764156F" w14:textId="77777777" w:rsidR="004E65E6" w:rsidRDefault="00000000">
            <w:r>
              <w:rPr>
                <w:sz w:val="18"/>
              </w:rPr>
              <w:t>Capital expenditure planned</w:t>
            </w:r>
          </w:p>
        </w:tc>
        <w:tc>
          <w:tcPr>
            <w:tcW w:w="4968" w:type="dxa"/>
            <w:vAlign w:val="center"/>
          </w:tcPr>
          <w:p w14:paraId="7596FC57" w14:textId="77777777" w:rsidR="004E65E6" w:rsidRDefault="00000000">
            <w:r>
              <w:rPr>
                <w:sz w:val="18"/>
              </w:rPr>
              <w:t>₹40 lakh for production/testing equipment</w:t>
            </w:r>
          </w:p>
        </w:tc>
      </w:tr>
      <w:tr w:rsidR="004E65E6" w14:paraId="407E885E" w14:textId="77777777">
        <w:trPr>
          <w:jc w:val="center"/>
        </w:trPr>
        <w:tc>
          <w:tcPr>
            <w:tcW w:w="4968" w:type="dxa"/>
            <w:vAlign w:val="center"/>
          </w:tcPr>
          <w:p w14:paraId="21DF48BE" w14:textId="77777777" w:rsidR="004E65E6" w:rsidRDefault="00000000">
            <w:r>
              <w:rPr>
                <w:sz w:val="18"/>
              </w:rPr>
              <w:t>Key planning issue</w:t>
            </w:r>
          </w:p>
        </w:tc>
        <w:tc>
          <w:tcPr>
            <w:tcW w:w="4968" w:type="dxa"/>
            <w:vAlign w:val="center"/>
          </w:tcPr>
          <w:p w14:paraId="0DF6649D" w14:textId="77777777" w:rsidR="004E65E6" w:rsidRDefault="00000000">
            <w:r>
              <w:rPr>
                <w:sz w:val="18"/>
              </w:rPr>
              <w:t>Tax-rate choice, deductible costs, timing, compliance and documentation</w:t>
            </w:r>
          </w:p>
        </w:tc>
      </w:tr>
    </w:tbl>
    <w:p w14:paraId="514253DE" w14:textId="77777777" w:rsidR="004E65E6" w:rsidRDefault="00000000">
      <w:pPr>
        <w:pStyle w:val="Heading1"/>
      </w:pPr>
      <w:r>
        <w:t>3. Tax-Planning Objectives</w:t>
      </w:r>
    </w:p>
    <w:p w14:paraId="78983DB1" w14:textId="77777777" w:rsidR="004E65E6" w:rsidRDefault="00000000">
      <w:pPr>
        <w:pStyle w:val="ListBullet"/>
      </w:pPr>
      <w:r>
        <w:t>Reduce avoidable tax cost through provisions that are clearly available under law.</w:t>
      </w:r>
    </w:p>
    <w:p w14:paraId="0383AB89" w14:textId="77777777" w:rsidR="004E65E6" w:rsidRDefault="00000000">
      <w:pPr>
        <w:pStyle w:val="ListBullet"/>
      </w:pPr>
      <w:r>
        <w:t>Preserve cash flow by coordinating tax payments with operating and investment cycles.</w:t>
      </w:r>
    </w:p>
    <w:p w14:paraId="6D586089" w14:textId="77777777" w:rsidR="004E65E6" w:rsidRDefault="00000000">
      <w:pPr>
        <w:pStyle w:val="ListBullet"/>
      </w:pPr>
      <w:r>
        <w:t>Avoid disallowances, interest, penalties and disputes caused by weak documentation.</w:t>
      </w:r>
    </w:p>
    <w:p w14:paraId="727C69B1" w14:textId="77777777" w:rsidR="004E65E6" w:rsidRDefault="00000000">
      <w:pPr>
        <w:pStyle w:val="ListBullet"/>
      </w:pPr>
      <w:r>
        <w:t>Evaluate the concessional corporate-tax option against the deductions and incentives the company would surrender.</w:t>
      </w:r>
    </w:p>
    <w:p w14:paraId="29EFAA4E" w14:textId="77777777" w:rsidR="004E65E6" w:rsidRDefault="00000000">
      <w:pPr>
        <w:pStyle w:val="ListBullet"/>
      </w:pPr>
      <w:r>
        <w:t>Build a repeatable tax-compliance calendar covering payments, returns, audit information and statutory forms.</w:t>
      </w:r>
    </w:p>
    <w:p w14:paraId="6A6547AD" w14:textId="77777777" w:rsidR="004E65E6" w:rsidRDefault="00000000">
      <w:pPr>
        <w:pStyle w:val="ListBullet"/>
      </w:pPr>
      <w:r>
        <w:t>Align tax decisions with commercial substance rather than creating transactions only for tax purposes.</w:t>
      </w:r>
    </w:p>
    <w:p w14:paraId="4A7BB3C7" w14:textId="77777777" w:rsidR="004E65E6" w:rsidRDefault="00000000">
      <w:pPr>
        <w:pStyle w:val="ListBullet"/>
      </w:pPr>
      <w:r>
        <w:t>Create management controls so that tax planning is reviewed quarterly instead of being performed only at year-end.</w:t>
      </w:r>
    </w:p>
    <w:p w14:paraId="06ACC3C5" w14:textId="77777777" w:rsidR="004E65E6" w:rsidRDefault="00000000">
      <w:pPr>
        <w:pStyle w:val="Heading1"/>
      </w:pPr>
      <w:r>
        <w:t>4. Relevant Indian Tax Framework</w:t>
      </w:r>
    </w:p>
    <w:p w14:paraId="2CDF1451" w14:textId="77777777" w:rsidR="004E65E6" w:rsidRDefault="00000000">
      <w:r>
        <w:t>For the case study, the official Income Tax Department guidance for Assessment Year 2026–27 is used as the principal reference. The Department states that a domestic company can be taxed at 25% where the specified historical turnover condition is satisfied, 22% if it opts for section 115BAA, 15% for qualifying new manufacturing domestic companies under section 115BAB, or 30% in other circumstances, with applicable surcharge and cess. citeturn3search0</w:t>
      </w:r>
    </w:p>
    <w:p w14:paraId="051B204D" w14:textId="77777777" w:rsidR="004E65E6" w:rsidRDefault="00000000">
      <w:r>
        <w:t>Section 115BAA is particularly relevant to the simulated company. The Income Tax Department explains that the 22% concessional rate is available subject to specified conditions and that the option requires Form 10-IC to be filed by the applicable return due date. Once exercised, the option applies to subsequent assessment years and cannot be withdrawn. The strategic implication is that the company should not select the regime solely because the headline rate is lower; it should model the long-term value of deductions and incentives that become unavailable. citeturn3search6turn3search7</w:t>
      </w:r>
    </w:p>
    <w:p w14:paraId="7CB2D846" w14:textId="77777777" w:rsidR="004E65E6" w:rsidRDefault="00000000">
      <w:pPr>
        <w:pStyle w:val="Heading1"/>
      </w:pPr>
      <w:r>
        <w:lastRenderedPageBreak/>
        <w:t>5. Tax-Saving Strategy 1: Evaluate the Concessional Corporate Tax Regime</w:t>
      </w:r>
    </w:p>
    <w:p w14:paraId="741FFF5F" w14:textId="77777777" w:rsidR="004E65E6" w:rsidRDefault="00000000">
      <w:r>
        <w:t>The first planning step is a regime comparison. For the hypothetical company, assume taxable income after normal tax adjustments remains ₹1.80 crore. At 22%, the base tax is ₹39.60 lakh. Because the assumed income exceeds ₹1 crore but does not exceed ₹10 crore, the official company guidance lists a 10% surcharge for a company opting for section 115BAA, followed by 4% health and education cess. The illustrative calculation is therefore ₹39.60 lakh + ₹3.96 lakh surcharge = ₹43.56 lakh; 4% cess on that amount is ₹1.7424 lakh, producing approximately ₹45.3024 lakh. For a 25% rate with a 7% surcharge, the base tax is ₹45 lakh, surcharge ₹3.15 lakh, and 4% cess ₹1.926 lakh, giving approximately ₹50.076 lakh. The indicative difference is about ₹4.77 lakh.</w:t>
      </w:r>
    </w:p>
    <w:p w14:paraId="0A94C8CA" w14:textId="77777777" w:rsidR="004E65E6" w:rsidRDefault="00000000">
      <w:r>
        <w:t>The calculation is deliberately presented as a planning illustration. Actual taxable income may differ from accounting profit, and eligibility, disallowed deductions, brought-forward losses, depreciation, minimum alternate tax treatment, surcharge, marginal relief and other provisions must be verified before filing. Companies choosing 115BAA are exempt from MAT according to the official guidance, but specified deductions are also restricted. citeturn3search0</w:t>
      </w:r>
    </w:p>
    <w:p w14:paraId="08E7A8CE" w14:textId="77777777" w:rsidR="004E65E6" w:rsidRDefault="00000000">
      <w:pPr>
        <w:pStyle w:val="Heading1"/>
      </w:pPr>
      <w:r>
        <w:t>6. Tax-Saving Strategy 2: Maximize Legitimate Business Deductions</w:t>
      </w:r>
    </w:p>
    <w:p w14:paraId="3A439BE3" w14:textId="77777777" w:rsidR="004E65E6" w:rsidRDefault="00000000">
      <w:r>
        <w:t>A company should maintain a clear distinction between business expenditure and personal or non-business expenditure. Eligible operating costs should be recorded in the correct accounting period and supported by invoices, contracts, payment evidence and business purpose. Common categories include employee costs, rent, utilities, logistics, professional fees, repairs, insurance and other expenses incurred wholly and exclusively for business, subject to the detailed tax rules.</w:t>
      </w:r>
    </w:p>
    <w:p w14:paraId="4EC01E05" w14:textId="77777777" w:rsidR="004E65E6" w:rsidRDefault="00000000">
      <w:r>
        <w:t>The objective is not to increase expenditure merely to reduce tax. Spending ₹100 only to save a portion of tax destroys cash value. Instead, the company should prioritize commercially useful expenditure that is necessary for operations, safety, quality, technology and growth.</w:t>
      </w:r>
    </w:p>
    <w:p w14:paraId="3B4C7564" w14:textId="77777777" w:rsidR="004E65E6" w:rsidRDefault="00000000">
      <w:pPr>
        <w:pStyle w:val="Heading1"/>
      </w:pPr>
      <w:r>
        <w:t>7. Tax-Saving Strategy 3: Capital Expenditure and Depreciation Planning</w:t>
      </w:r>
    </w:p>
    <w:p w14:paraId="7F40536B" w14:textId="77777777" w:rsidR="004E65E6" w:rsidRDefault="00000000">
      <w:r>
        <w:t>Apex plans ₹40 lakh of production and testing equipment. Capital assets normally do not receive the same immediate tax treatment as ordinary revenue expenses; depreciation is generally relevant to the tax computation. The notified 2026 tax rules contain depreciation tables with block-of-assets rates, illustrating the need to classify assets correctly before calculating depreciation. citeturn3search23</w:t>
      </w:r>
    </w:p>
    <w:p w14:paraId="61CD24C2" w14:textId="77777777" w:rsidR="004E65E6" w:rsidRDefault="00000000">
      <w:r>
        <w:t>The planning process should therefore include an asset register showing purchase date, invoice value, installation date, date placed in service, asset category, tax block and supporting documentation. Management should also consider the commercial return on the equipment rather than purchasing an asset simply for tax reasons.</w:t>
      </w:r>
    </w:p>
    <w:p w14:paraId="16080E1B" w14:textId="77777777" w:rsidR="004E65E6" w:rsidRDefault="00000000">
      <w:pPr>
        <w:pStyle w:val="Heading1"/>
      </w:pPr>
      <w:r>
        <w:t>8. Tax-Saving Strategy 4: Vendor and MSME Payment Controls</w:t>
      </w:r>
    </w:p>
    <w:p w14:paraId="4E11DD4D" w14:textId="77777777" w:rsidR="004E65E6" w:rsidRDefault="00000000">
      <w:r>
        <w:t>The case assumes that Apex buys components and packaging from micro and small enterprises. Current tax-return validation rules identify sums payable to a micro or small enterprise beyond the time limit specified in section 15 of the MSMED Act as relevant to section 43B reporting and disallowance. citeturn4search0turn4search1</w:t>
      </w:r>
    </w:p>
    <w:p w14:paraId="1E63B55B" w14:textId="77777777" w:rsidR="004E65E6" w:rsidRDefault="00000000">
      <w:r>
        <w:lastRenderedPageBreak/>
        <w:t>A practical control is to maintain an MSME vendor register, capture supplier classification where available, record invoice and acceptance dates, monitor due dates, and reconcile unpaid balances before year-end. This is both a tax-risk control and a supplier-relationship control.</w:t>
      </w:r>
    </w:p>
    <w:p w14:paraId="72312A7D" w14:textId="77777777" w:rsidR="004E65E6" w:rsidRDefault="00000000">
      <w:pPr>
        <w:pStyle w:val="Heading1"/>
      </w:pPr>
      <w:r>
        <w:t>9. Tax-Saving Strategy 5: Compliance Calendar and Documentation</w:t>
      </w:r>
    </w:p>
    <w:p w14:paraId="6337F3B8" w14:textId="77777777" w:rsidR="004E65E6" w:rsidRDefault="00000000">
      <w:r>
        <w:t>Tax savings are sustainable only when supported by compliance. Apex should maintain a single tax calendar covering advance tax, tax deducted at source, GST-related reconciliations where relevant, return filing, tax audit information, statutory forms, payment deadlines and management approvals. The company should also preserve invoices, contracts, bank records, payroll documentation, fixed-asset records and tax workings.</w:t>
      </w:r>
    </w:p>
    <w:p w14:paraId="748DD2DA" w14:textId="77777777" w:rsidR="004E65E6" w:rsidRDefault="00000000">
      <w:pPr>
        <w:pStyle w:val="ListBullet"/>
      </w:pPr>
      <w:r>
        <w:t>Monthly: reconcile sales, purchases, bank accounts, TDS and major expense accounts.</w:t>
      </w:r>
    </w:p>
    <w:p w14:paraId="7FDEDC71" w14:textId="77777777" w:rsidR="004E65E6" w:rsidRDefault="00000000">
      <w:pPr>
        <w:pStyle w:val="ListBullet"/>
      </w:pPr>
      <w:r>
        <w:t>Quarterly: review tax estimates, vendor compliance, fixed assets and open tax notices.</w:t>
      </w:r>
    </w:p>
    <w:p w14:paraId="23BBE6F2" w14:textId="77777777" w:rsidR="004E65E6" w:rsidRDefault="00000000">
      <w:pPr>
        <w:pStyle w:val="ListBullet"/>
      </w:pPr>
      <w:r>
        <w:t>Before year-end: forecast taxable income and review capital expenditure, provisions and disallowance risks.</w:t>
      </w:r>
    </w:p>
    <w:p w14:paraId="7A978A2F" w14:textId="77777777" w:rsidR="004E65E6" w:rsidRDefault="00000000">
      <w:pPr>
        <w:pStyle w:val="ListBullet"/>
      </w:pPr>
      <w:r>
        <w:t>At return preparation: reconcile books to tax computation and obtain appropriate professional review.</w:t>
      </w:r>
    </w:p>
    <w:p w14:paraId="229D16BA" w14:textId="77777777" w:rsidR="004E65E6" w:rsidRDefault="00000000">
      <w:pPr>
        <w:pStyle w:val="ListBullet"/>
      </w:pPr>
      <w:r>
        <w:t>After filing: archive acknowledgements and supporting records and track outstanding actions.</w:t>
      </w:r>
    </w:p>
    <w:p w14:paraId="7F7D958A" w14:textId="77777777" w:rsidR="004E65E6" w:rsidRDefault="00000000">
      <w:pPr>
        <w:pStyle w:val="Heading1"/>
      </w:pPr>
      <w:r>
        <w:t>10. Strategic Comparison: Illustrative Tax-Regime Calculation</w:t>
      </w:r>
    </w:p>
    <w:tbl>
      <w:tblPr>
        <w:tblStyle w:val="TableGrid"/>
        <w:tblW w:w="0" w:type="auto"/>
        <w:tblLook w:val="04A0" w:firstRow="1" w:lastRow="0" w:firstColumn="1" w:lastColumn="0" w:noHBand="0" w:noVBand="1"/>
      </w:tblPr>
      <w:tblGrid>
        <w:gridCol w:w="2484"/>
        <w:gridCol w:w="2484"/>
        <w:gridCol w:w="2484"/>
        <w:gridCol w:w="2484"/>
      </w:tblGrid>
      <w:tr w:rsidR="004E65E6" w14:paraId="3BDE1BA6" w14:textId="77777777">
        <w:tc>
          <w:tcPr>
            <w:tcW w:w="2484" w:type="dxa"/>
            <w:shd w:val="clear" w:color="auto" w:fill="EAF2F8"/>
            <w:vAlign w:val="center"/>
          </w:tcPr>
          <w:p w14:paraId="0FDEC346" w14:textId="77777777" w:rsidR="004E65E6" w:rsidRDefault="00000000">
            <w:r>
              <w:rPr>
                <w:b/>
                <w:sz w:val="18"/>
              </w:rPr>
              <w:t>Item</w:t>
            </w:r>
          </w:p>
        </w:tc>
        <w:tc>
          <w:tcPr>
            <w:tcW w:w="2484" w:type="dxa"/>
            <w:shd w:val="clear" w:color="auto" w:fill="EAF2F8"/>
            <w:vAlign w:val="center"/>
          </w:tcPr>
          <w:p w14:paraId="6FF61CE2" w14:textId="77777777" w:rsidR="004E65E6" w:rsidRDefault="00000000">
            <w:r>
              <w:rPr>
                <w:b/>
                <w:sz w:val="18"/>
              </w:rPr>
              <w:t>25% scenario</w:t>
            </w:r>
          </w:p>
        </w:tc>
        <w:tc>
          <w:tcPr>
            <w:tcW w:w="2484" w:type="dxa"/>
            <w:shd w:val="clear" w:color="auto" w:fill="EAF2F8"/>
            <w:vAlign w:val="center"/>
          </w:tcPr>
          <w:p w14:paraId="4FBEFCBE" w14:textId="77777777" w:rsidR="004E65E6" w:rsidRDefault="00000000">
            <w:r>
              <w:rPr>
                <w:b/>
                <w:sz w:val="18"/>
              </w:rPr>
              <w:t>22% 115BAA scenario</w:t>
            </w:r>
          </w:p>
        </w:tc>
        <w:tc>
          <w:tcPr>
            <w:tcW w:w="2484" w:type="dxa"/>
            <w:shd w:val="clear" w:color="auto" w:fill="EAF2F8"/>
            <w:vAlign w:val="center"/>
          </w:tcPr>
          <w:p w14:paraId="6CF2DB90" w14:textId="77777777" w:rsidR="004E65E6" w:rsidRDefault="00000000">
            <w:r>
              <w:rPr>
                <w:b/>
                <w:sz w:val="18"/>
              </w:rPr>
              <w:t>Planning observation</w:t>
            </w:r>
          </w:p>
        </w:tc>
      </w:tr>
      <w:tr w:rsidR="004E65E6" w14:paraId="6F2003C4" w14:textId="77777777">
        <w:tc>
          <w:tcPr>
            <w:tcW w:w="2484" w:type="dxa"/>
            <w:vAlign w:val="center"/>
          </w:tcPr>
          <w:p w14:paraId="52D77E5A" w14:textId="77777777" w:rsidR="004E65E6" w:rsidRDefault="00000000">
            <w:r>
              <w:rPr>
                <w:sz w:val="18"/>
              </w:rPr>
              <w:t>Assumed taxable income</w:t>
            </w:r>
          </w:p>
        </w:tc>
        <w:tc>
          <w:tcPr>
            <w:tcW w:w="2484" w:type="dxa"/>
            <w:vAlign w:val="center"/>
          </w:tcPr>
          <w:p w14:paraId="301734BD" w14:textId="77777777" w:rsidR="004E65E6" w:rsidRDefault="00000000">
            <w:r>
              <w:rPr>
                <w:sz w:val="18"/>
              </w:rPr>
              <w:t>₹1.80 crore</w:t>
            </w:r>
          </w:p>
        </w:tc>
        <w:tc>
          <w:tcPr>
            <w:tcW w:w="2484" w:type="dxa"/>
            <w:vAlign w:val="center"/>
          </w:tcPr>
          <w:p w14:paraId="054EFBAC" w14:textId="77777777" w:rsidR="004E65E6" w:rsidRDefault="00000000">
            <w:r>
              <w:rPr>
                <w:sz w:val="18"/>
              </w:rPr>
              <w:t>₹1.80 crore</w:t>
            </w:r>
          </w:p>
        </w:tc>
        <w:tc>
          <w:tcPr>
            <w:tcW w:w="2484" w:type="dxa"/>
            <w:vAlign w:val="center"/>
          </w:tcPr>
          <w:p w14:paraId="4219B420" w14:textId="77777777" w:rsidR="004E65E6" w:rsidRDefault="00000000">
            <w:r>
              <w:rPr>
                <w:sz w:val="18"/>
              </w:rPr>
              <w:t>Same starting point for comparison</w:t>
            </w:r>
          </w:p>
        </w:tc>
      </w:tr>
      <w:tr w:rsidR="004E65E6" w14:paraId="7316DFC3" w14:textId="77777777">
        <w:tc>
          <w:tcPr>
            <w:tcW w:w="2484" w:type="dxa"/>
            <w:vAlign w:val="center"/>
          </w:tcPr>
          <w:p w14:paraId="3A3D75BB" w14:textId="77777777" w:rsidR="004E65E6" w:rsidRDefault="00000000">
            <w:r>
              <w:rPr>
                <w:sz w:val="18"/>
              </w:rPr>
              <w:t>Base income tax</w:t>
            </w:r>
          </w:p>
        </w:tc>
        <w:tc>
          <w:tcPr>
            <w:tcW w:w="2484" w:type="dxa"/>
            <w:vAlign w:val="center"/>
          </w:tcPr>
          <w:p w14:paraId="62DA66C4" w14:textId="77777777" w:rsidR="004E65E6" w:rsidRDefault="00000000">
            <w:r>
              <w:rPr>
                <w:sz w:val="18"/>
              </w:rPr>
              <w:t>₹45.00 lakh</w:t>
            </w:r>
          </w:p>
        </w:tc>
        <w:tc>
          <w:tcPr>
            <w:tcW w:w="2484" w:type="dxa"/>
            <w:vAlign w:val="center"/>
          </w:tcPr>
          <w:p w14:paraId="6FA55341" w14:textId="77777777" w:rsidR="004E65E6" w:rsidRDefault="00000000">
            <w:r>
              <w:rPr>
                <w:sz w:val="18"/>
              </w:rPr>
              <w:t>₹39.60 lakh</w:t>
            </w:r>
          </w:p>
        </w:tc>
        <w:tc>
          <w:tcPr>
            <w:tcW w:w="2484" w:type="dxa"/>
            <w:vAlign w:val="center"/>
          </w:tcPr>
          <w:p w14:paraId="3477CD97" w14:textId="77777777" w:rsidR="004E65E6" w:rsidRDefault="00000000">
            <w:r>
              <w:rPr>
                <w:sz w:val="18"/>
              </w:rPr>
              <w:t>22% scenario has lower base tax</w:t>
            </w:r>
          </w:p>
        </w:tc>
      </w:tr>
      <w:tr w:rsidR="004E65E6" w14:paraId="5F4CC3AE" w14:textId="77777777">
        <w:tc>
          <w:tcPr>
            <w:tcW w:w="2484" w:type="dxa"/>
            <w:vAlign w:val="center"/>
          </w:tcPr>
          <w:p w14:paraId="4F9327BC" w14:textId="77777777" w:rsidR="004E65E6" w:rsidRDefault="00000000">
            <w:r>
              <w:rPr>
                <w:sz w:val="18"/>
              </w:rPr>
              <w:t>Illustrative surcharge</w:t>
            </w:r>
          </w:p>
        </w:tc>
        <w:tc>
          <w:tcPr>
            <w:tcW w:w="2484" w:type="dxa"/>
            <w:vAlign w:val="center"/>
          </w:tcPr>
          <w:p w14:paraId="5B6846B7" w14:textId="77777777" w:rsidR="004E65E6" w:rsidRDefault="00000000">
            <w:r>
              <w:rPr>
                <w:sz w:val="18"/>
              </w:rPr>
              <w:t>7% = ₹3.15 lakh</w:t>
            </w:r>
          </w:p>
        </w:tc>
        <w:tc>
          <w:tcPr>
            <w:tcW w:w="2484" w:type="dxa"/>
            <w:vAlign w:val="center"/>
          </w:tcPr>
          <w:p w14:paraId="4A6DB824" w14:textId="77777777" w:rsidR="004E65E6" w:rsidRDefault="00000000">
            <w:r>
              <w:rPr>
                <w:sz w:val="18"/>
              </w:rPr>
              <w:t>10% = ₹3.96 lakh</w:t>
            </w:r>
          </w:p>
        </w:tc>
        <w:tc>
          <w:tcPr>
            <w:tcW w:w="2484" w:type="dxa"/>
            <w:vAlign w:val="center"/>
          </w:tcPr>
          <w:p w14:paraId="6E3E18DD" w14:textId="77777777" w:rsidR="004E65E6" w:rsidRDefault="00000000">
            <w:r>
              <w:rPr>
                <w:sz w:val="18"/>
              </w:rPr>
              <w:t>Surcharge rules differ</w:t>
            </w:r>
          </w:p>
        </w:tc>
      </w:tr>
      <w:tr w:rsidR="004E65E6" w14:paraId="0EB4B937" w14:textId="77777777">
        <w:tc>
          <w:tcPr>
            <w:tcW w:w="2484" w:type="dxa"/>
            <w:vAlign w:val="center"/>
          </w:tcPr>
          <w:p w14:paraId="1EFBCB8C" w14:textId="77777777" w:rsidR="004E65E6" w:rsidRDefault="00000000">
            <w:r>
              <w:rPr>
                <w:sz w:val="18"/>
              </w:rPr>
              <w:t>Tax + surcharge</w:t>
            </w:r>
          </w:p>
        </w:tc>
        <w:tc>
          <w:tcPr>
            <w:tcW w:w="2484" w:type="dxa"/>
            <w:vAlign w:val="center"/>
          </w:tcPr>
          <w:p w14:paraId="3CBC6B76" w14:textId="77777777" w:rsidR="004E65E6" w:rsidRDefault="00000000">
            <w:r>
              <w:rPr>
                <w:sz w:val="18"/>
              </w:rPr>
              <w:t>₹48.15 lakh</w:t>
            </w:r>
          </w:p>
        </w:tc>
        <w:tc>
          <w:tcPr>
            <w:tcW w:w="2484" w:type="dxa"/>
            <w:vAlign w:val="center"/>
          </w:tcPr>
          <w:p w14:paraId="23737126" w14:textId="77777777" w:rsidR="004E65E6" w:rsidRDefault="00000000">
            <w:r>
              <w:rPr>
                <w:sz w:val="18"/>
              </w:rPr>
              <w:t>₹43.56 lakh</w:t>
            </w:r>
          </w:p>
        </w:tc>
        <w:tc>
          <w:tcPr>
            <w:tcW w:w="2484" w:type="dxa"/>
            <w:vAlign w:val="center"/>
          </w:tcPr>
          <w:p w14:paraId="1EC88C22" w14:textId="77777777" w:rsidR="004E65E6" w:rsidRDefault="00000000">
            <w:r>
              <w:rPr>
                <w:sz w:val="18"/>
              </w:rPr>
              <w:t>Before cess</w:t>
            </w:r>
          </w:p>
        </w:tc>
      </w:tr>
      <w:tr w:rsidR="004E65E6" w14:paraId="289FA691" w14:textId="77777777">
        <w:tc>
          <w:tcPr>
            <w:tcW w:w="2484" w:type="dxa"/>
            <w:vAlign w:val="center"/>
          </w:tcPr>
          <w:p w14:paraId="463223AF" w14:textId="77777777" w:rsidR="004E65E6" w:rsidRDefault="00000000">
            <w:r>
              <w:rPr>
                <w:sz w:val="18"/>
              </w:rPr>
              <w:t>4% cess</w:t>
            </w:r>
          </w:p>
        </w:tc>
        <w:tc>
          <w:tcPr>
            <w:tcW w:w="2484" w:type="dxa"/>
            <w:vAlign w:val="center"/>
          </w:tcPr>
          <w:p w14:paraId="0C8FCCF7" w14:textId="77777777" w:rsidR="004E65E6" w:rsidRDefault="00000000">
            <w:r>
              <w:rPr>
                <w:sz w:val="18"/>
              </w:rPr>
              <w:t>₹1.926 lakh</w:t>
            </w:r>
          </w:p>
        </w:tc>
        <w:tc>
          <w:tcPr>
            <w:tcW w:w="2484" w:type="dxa"/>
            <w:vAlign w:val="center"/>
          </w:tcPr>
          <w:p w14:paraId="03B6D1C9" w14:textId="77777777" w:rsidR="004E65E6" w:rsidRDefault="00000000">
            <w:r>
              <w:rPr>
                <w:sz w:val="18"/>
              </w:rPr>
              <w:t>₹1.7424 lakh</w:t>
            </w:r>
          </w:p>
        </w:tc>
        <w:tc>
          <w:tcPr>
            <w:tcW w:w="2484" w:type="dxa"/>
            <w:vAlign w:val="center"/>
          </w:tcPr>
          <w:p w14:paraId="179ACC63" w14:textId="77777777" w:rsidR="004E65E6" w:rsidRDefault="00000000">
            <w:r>
              <w:rPr>
                <w:sz w:val="18"/>
              </w:rPr>
              <w:t>Applied to tax plus surcharge</w:t>
            </w:r>
          </w:p>
        </w:tc>
      </w:tr>
      <w:tr w:rsidR="004E65E6" w14:paraId="18730638" w14:textId="77777777">
        <w:tc>
          <w:tcPr>
            <w:tcW w:w="2484" w:type="dxa"/>
            <w:vAlign w:val="center"/>
          </w:tcPr>
          <w:p w14:paraId="0FC5CFC9" w14:textId="77777777" w:rsidR="004E65E6" w:rsidRDefault="00000000">
            <w:r>
              <w:rPr>
                <w:sz w:val="18"/>
              </w:rPr>
              <w:t>Illustrative total</w:t>
            </w:r>
          </w:p>
        </w:tc>
        <w:tc>
          <w:tcPr>
            <w:tcW w:w="2484" w:type="dxa"/>
            <w:vAlign w:val="center"/>
          </w:tcPr>
          <w:p w14:paraId="32C113F5" w14:textId="77777777" w:rsidR="004E65E6" w:rsidRDefault="00000000">
            <w:r>
              <w:rPr>
                <w:sz w:val="18"/>
              </w:rPr>
              <w:t>₹50.076 lakh</w:t>
            </w:r>
          </w:p>
        </w:tc>
        <w:tc>
          <w:tcPr>
            <w:tcW w:w="2484" w:type="dxa"/>
            <w:vAlign w:val="center"/>
          </w:tcPr>
          <w:p w14:paraId="342771DA" w14:textId="77777777" w:rsidR="004E65E6" w:rsidRDefault="00000000">
            <w:r>
              <w:rPr>
                <w:sz w:val="18"/>
              </w:rPr>
              <w:t>₹45.3024 lakh</w:t>
            </w:r>
          </w:p>
        </w:tc>
        <w:tc>
          <w:tcPr>
            <w:tcW w:w="2484" w:type="dxa"/>
            <w:vAlign w:val="center"/>
          </w:tcPr>
          <w:p w14:paraId="6847757C" w14:textId="77777777" w:rsidR="004E65E6" w:rsidRDefault="00000000">
            <w:r>
              <w:rPr>
                <w:sz w:val="18"/>
              </w:rPr>
              <w:t>Difference ≈ ₹4.7736 lakh</w:t>
            </w:r>
          </w:p>
        </w:tc>
      </w:tr>
    </w:tbl>
    <w:p w14:paraId="0FC2429A" w14:textId="77777777" w:rsidR="004E65E6" w:rsidRDefault="00000000">
      <w:r>
        <w:t>The comparison demonstrates why planning should use a full model rather than a headline percentage. If the company would lose deductions or incentives worth more than the tax-rate benefit, the economic result could change. Conversely, if the company's available deductions are limited and the concessional regime fits its circumstances, the lower rate may have a meaningful cash-tax effect.</w:t>
      </w:r>
    </w:p>
    <w:p w14:paraId="2A81C086" w14:textId="77777777" w:rsidR="004E65E6" w:rsidRDefault="00000000">
      <w:pPr>
        <w:pStyle w:val="Heading1"/>
      </w:pPr>
      <w:r>
        <w:lastRenderedPageBreak/>
        <w:t>11. SWOT Analysis</w:t>
      </w:r>
    </w:p>
    <w:p w14:paraId="4EC39F75" w14:textId="77777777" w:rsidR="004E65E6" w:rsidRDefault="00000000">
      <w:pPr>
        <w:jc w:val="center"/>
      </w:pPr>
      <w:r>
        <w:rPr>
          <w:noProof/>
        </w:rPr>
        <w:drawing>
          <wp:inline distT="0" distB="0" distL="0" distR="0" wp14:anchorId="578FFB6A" wp14:editId="49ACF3F7">
            <wp:extent cx="6126480" cy="39410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swot_analysis.png"/>
                    <pic:cNvPicPr/>
                  </pic:nvPicPr>
                  <pic:blipFill>
                    <a:blip r:embed="rId8"/>
                    <a:stretch>
                      <a:fillRect/>
                    </a:stretch>
                  </pic:blipFill>
                  <pic:spPr>
                    <a:xfrm>
                      <a:off x="0" y="0"/>
                      <a:ext cx="6126480" cy="3941058"/>
                    </a:xfrm>
                    <a:prstGeom prst="rect">
                      <a:avLst/>
                    </a:prstGeom>
                  </pic:spPr>
                </pic:pic>
              </a:graphicData>
            </a:graphic>
          </wp:inline>
        </w:drawing>
      </w:r>
    </w:p>
    <w:p w14:paraId="41C92FFC" w14:textId="77777777" w:rsidR="004E65E6" w:rsidRDefault="00000000">
      <w:pPr>
        <w:jc w:val="center"/>
      </w:pPr>
      <w:r>
        <w:t>Figure 1. SWOT analysis of the hypothetical electronics business.</w:t>
      </w:r>
    </w:p>
    <w:p w14:paraId="5E42A046" w14:textId="77777777" w:rsidR="004E65E6" w:rsidRDefault="00000000">
      <w:r>
        <w:t>The SWOT analysis highlights that tax planning is connected to operational controls. Strong records and stable operations are useful strengths, while manual processes and inventory complexity can create weaknesses. Digital compliance and better vendor controls provide opportunities, while law changes and disallowances remain threats.</w:t>
      </w:r>
    </w:p>
    <w:p w14:paraId="3D0B9371" w14:textId="77777777" w:rsidR="004E65E6" w:rsidRDefault="00000000">
      <w:pPr>
        <w:pStyle w:val="Heading1"/>
      </w:pPr>
      <w:r>
        <w:t>12. Scenario Analysis</w:t>
      </w:r>
    </w:p>
    <w:tbl>
      <w:tblPr>
        <w:tblStyle w:val="TableGrid"/>
        <w:tblW w:w="0" w:type="auto"/>
        <w:tblLook w:val="04A0" w:firstRow="1" w:lastRow="0" w:firstColumn="1" w:lastColumn="0" w:noHBand="0" w:noVBand="1"/>
      </w:tblPr>
      <w:tblGrid>
        <w:gridCol w:w="2484"/>
        <w:gridCol w:w="2484"/>
        <w:gridCol w:w="2484"/>
        <w:gridCol w:w="2484"/>
      </w:tblGrid>
      <w:tr w:rsidR="004E65E6" w14:paraId="3ACFDBDD" w14:textId="77777777">
        <w:tc>
          <w:tcPr>
            <w:tcW w:w="2484" w:type="dxa"/>
            <w:shd w:val="clear" w:color="auto" w:fill="EAF2F8"/>
            <w:vAlign w:val="center"/>
          </w:tcPr>
          <w:p w14:paraId="0024331E" w14:textId="77777777" w:rsidR="004E65E6" w:rsidRDefault="00000000">
            <w:r>
              <w:rPr>
                <w:b/>
                <w:sz w:val="18"/>
              </w:rPr>
              <w:t>Scenario</w:t>
            </w:r>
          </w:p>
        </w:tc>
        <w:tc>
          <w:tcPr>
            <w:tcW w:w="2484" w:type="dxa"/>
            <w:shd w:val="clear" w:color="auto" w:fill="EAF2F8"/>
            <w:vAlign w:val="center"/>
          </w:tcPr>
          <w:p w14:paraId="07C9A9F1" w14:textId="77777777" w:rsidR="004E65E6" w:rsidRDefault="00000000">
            <w:r>
              <w:rPr>
                <w:b/>
                <w:sz w:val="18"/>
              </w:rPr>
              <w:t>Possible tax impact</w:t>
            </w:r>
          </w:p>
        </w:tc>
        <w:tc>
          <w:tcPr>
            <w:tcW w:w="2484" w:type="dxa"/>
            <w:shd w:val="clear" w:color="auto" w:fill="EAF2F8"/>
            <w:vAlign w:val="center"/>
          </w:tcPr>
          <w:p w14:paraId="5E894430" w14:textId="77777777" w:rsidR="004E65E6" w:rsidRDefault="00000000">
            <w:r>
              <w:rPr>
                <w:b/>
                <w:sz w:val="18"/>
              </w:rPr>
              <w:t>Business impact</w:t>
            </w:r>
          </w:p>
        </w:tc>
        <w:tc>
          <w:tcPr>
            <w:tcW w:w="2484" w:type="dxa"/>
            <w:shd w:val="clear" w:color="auto" w:fill="EAF2F8"/>
            <w:vAlign w:val="center"/>
          </w:tcPr>
          <w:p w14:paraId="5309D226" w14:textId="77777777" w:rsidR="004E65E6" w:rsidRDefault="00000000">
            <w:r>
              <w:rPr>
                <w:b/>
                <w:sz w:val="18"/>
              </w:rPr>
              <w:t>Response</w:t>
            </w:r>
          </w:p>
        </w:tc>
      </w:tr>
      <w:tr w:rsidR="004E65E6" w14:paraId="04F79BFF" w14:textId="77777777">
        <w:tc>
          <w:tcPr>
            <w:tcW w:w="2484" w:type="dxa"/>
            <w:vAlign w:val="center"/>
          </w:tcPr>
          <w:p w14:paraId="533281E1" w14:textId="77777777" w:rsidR="004E65E6" w:rsidRDefault="00000000">
            <w:r>
              <w:rPr>
                <w:sz w:val="18"/>
              </w:rPr>
              <w:t>A. 115BAA selected</w:t>
            </w:r>
          </w:p>
        </w:tc>
        <w:tc>
          <w:tcPr>
            <w:tcW w:w="2484" w:type="dxa"/>
            <w:vAlign w:val="center"/>
          </w:tcPr>
          <w:p w14:paraId="53AD7159" w14:textId="77777777" w:rsidR="004E65E6" w:rsidRDefault="00000000">
            <w:r>
              <w:rPr>
                <w:sz w:val="18"/>
              </w:rPr>
              <w:t>Potentially lower statutory rate</w:t>
            </w:r>
          </w:p>
        </w:tc>
        <w:tc>
          <w:tcPr>
            <w:tcW w:w="2484" w:type="dxa"/>
            <w:vAlign w:val="center"/>
          </w:tcPr>
          <w:p w14:paraId="3FE250A7" w14:textId="77777777" w:rsidR="004E65E6" w:rsidRDefault="00000000">
            <w:r>
              <w:rPr>
                <w:sz w:val="18"/>
              </w:rPr>
              <w:t>More predictable tax cost but specified deductions restricted</w:t>
            </w:r>
          </w:p>
        </w:tc>
        <w:tc>
          <w:tcPr>
            <w:tcW w:w="2484" w:type="dxa"/>
            <w:vAlign w:val="center"/>
          </w:tcPr>
          <w:p w14:paraId="683CF108" w14:textId="77777777" w:rsidR="004E65E6" w:rsidRDefault="00000000">
            <w:r>
              <w:rPr>
                <w:sz w:val="18"/>
              </w:rPr>
              <w:t>Model long-term benefit before exercising option</w:t>
            </w:r>
          </w:p>
        </w:tc>
      </w:tr>
      <w:tr w:rsidR="004E65E6" w14:paraId="464B6619" w14:textId="77777777">
        <w:tc>
          <w:tcPr>
            <w:tcW w:w="2484" w:type="dxa"/>
            <w:vAlign w:val="center"/>
          </w:tcPr>
          <w:p w14:paraId="2A28422E" w14:textId="77777777" w:rsidR="004E65E6" w:rsidRDefault="00000000">
            <w:r>
              <w:rPr>
                <w:sz w:val="18"/>
              </w:rPr>
              <w:t>B. High capital investment</w:t>
            </w:r>
          </w:p>
        </w:tc>
        <w:tc>
          <w:tcPr>
            <w:tcW w:w="2484" w:type="dxa"/>
            <w:vAlign w:val="center"/>
          </w:tcPr>
          <w:p w14:paraId="657FAF8E" w14:textId="77777777" w:rsidR="004E65E6" w:rsidRDefault="00000000">
            <w:r>
              <w:rPr>
                <w:sz w:val="18"/>
              </w:rPr>
              <w:t>Depreciation affects taxable profit subject to rules</w:t>
            </w:r>
          </w:p>
        </w:tc>
        <w:tc>
          <w:tcPr>
            <w:tcW w:w="2484" w:type="dxa"/>
            <w:vAlign w:val="center"/>
          </w:tcPr>
          <w:p w14:paraId="6E7EDA69" w14:textId="77777777" w:rsidR="004E65E6" w:rsidRDefault="00000000">
            <w:r>
              <w:rPr>
                <w:sz w:val="18"/>
              </w:rPr>
              <w:t>Higher cash outflow but productive capacity improves</w:t>
            </w:r>
          </w:p>
        </w:tc>
        <w:tc>
          <w:tcPr>
            <w:tcW w:w="2484" w:type="dxa"/>
            <w:vAlign w:val="center"/>
          </w:tcPr>
          <w:p w14:paraId="138DE9B4" w14:textId="77777777" w:rsidR="004E65E6" w:rsidRDefault="00000000">
            <w:r>
              <w:rPr>
                <w:sz w:val="18"/>
              </w:rPr>
              <w:t>Approve investment based on ROI, then optimize tax treatment</w:t>
            </w:r>
          </w:p>
        </w:tc>
      </w:tr>
      <w:tr w:rsidR="004E65E6" w14:paraId="1FF45845" w14:textId="77777777">
        <w:tc>
          <w:tcPr>
            <w:tcW w:w="2484" w:type="dxa"/>
            <w:vAlign w:val="center"/>
          </w:tcPr>
          <w:p w14:paraId="5598A067" w14:textId="77777777" w:rsidR="004E65E6" w:rsidRDefault="00000000">
            <w:r>
              <w:rPr>
                <w:sz w:val="18"/>
              </w:rPr>
              <w:t>C. Late MSME payments</w:t>
            </w:r>
          </w:p>
        </w:tc>
        <w:tc>
          <w:tcPr>
            <w:tcW w:w="2484" w:type="dxa"/>
            <w:vAlign w:val="center"/>
          </w:tcPr>
          <w:p w14:paraId="5B4E68A8" w14:textId="77777777" w:rsidR="004E65E6" w:rsidRDefault="00000000">
            <w:r>
              <w:rPr>
                <w:sz w:val="18"/>
              </w:rPr>
              <w:t>Potential disallowance/timing effect</w:t>
            </w:r>
          </w:p>
        </w:tc>
        <w:tc>
          <w:tcPr>
            <w:tcW w:w="2484" w:type="dxa"/>
            <w:vAlign w:val="center"/>
          </w:tcPr>
          <w:p w14:paraId="6A11DBAE" w14:textId="77777777" w:rsidR="004E65E6" w:rsidRDefault="00000000">
            <w:r>
              <w:rPr>
                <w:sz w:val="18"/>
              </w:rPr>
              <w:t>Supplier and compliance risk</w:t>
            </w:r>
          </w:p>
        </w:tc>
        <w:tc>
          <w:tcPr>
            <w:tcW w:w="2484" w:type="dxa"/>
            <w:vAlign w:val="center"/>
          </w:tcPr>
          <w:p w14:paraId="4A259C92" w14:textId="77777777" w:rsidR="004E65E6" w:rsidRDefault="00000000">
            <w:r>
              <w:rPr>
                <w:sz w:val="18"/>
              </w:rPr>
              <w:t>Track due dates and reconcile vendors</w:t>
            </w:r>
          </w:p>
        </w:tc>
      </w:tr>
      <w:tr w:rsidR="004E65E6" w14:paraId="32C24C55" w14:textId="77777777">
        <w:tc>
          <w:tcPr>
            <w:tcW w:w="2484" w:type="dxa"/>
            <w:vAlign w:val="center"/>
          </w:tcPr>
          <w:p w14:paraId="7BEB10A0" w14:textId="77777777" w:rsidR="004E65E6" w:rsidRDefault="00000000">
            <w:r>
              <w:rPr>
                <w:sz w:val="18"/>
              </w:rPr>
              <w:t>D. Weak documentation</w:t>
            </w:r>
          </w:p>
        </w:tc>
        <w:tc>
          <w:tcPr>
            <w:tcW w:w="2484" w:type="dxa"/>
            <w:vAlign w:val="center"/>
          </w:tcPr>
          <w:p w14:paraId="03E9C7DC" w14:textId="77777777" w:rsidR="004E65E6" w:rsidRDefault="00000000">
            <w:r>
              <w:rPr>
                <w:sz w:val="18"/>
              </w:rPr>
              <w:t>Expenses may be challenged or disallowed</w:t>
            </w:r>
          </w:p>
        </w:tc>
        <w:tc>
          <w:tcPr>
            <w:tcW w:w="2484" w:type="dxa"/>
            <w:vAlign w:val="center"/>
          </w:tcPr>
          <w:p w14:paraId="3AA4EE9B" w14:textId="77777777" w:rsidR="004E65E6" w:rsidRDefault="00000000">
            <w:r>
              <w:rPr>
                <w:sz w:val="18"/>
              </w:rPr>
              <w:t>Audit and penalty exposure</w:t>
            </w:r>
          </w:p>
        </w:tc>
        <w:tc>
          <w:tcPr>
            <w:tcW w:w="2484" w:type="dxa"/>
            <w:vAlign w:val="center"/>
          </w:tcPr>
          <w:p w14:paraId="6462862D" w14:textId="77777777" w:rsidR="004E65E6" w:rsidRDefault="00000000">
            <w:r>
              <w:rPr>
                <w:sz w:val="18"/>
              </w:rPr>
              <w:t>Centralize invoices, contracts and payment evidence</w:t>
            </w:r>
          </w:p>
        </w:tc>
      </w:tr>
    </w:tbl>
    <w:p w14:paraId="62F72681" w14:textId="77777777" w:rsidR="004E65E6" w:rsidRDefault="00000000">
      <w:pPr>
        <w:pStyle w:val="Heading1"/>
      </w:pPr>
      <w:r>
        <w:lastRenderedPageBreak/>
        <w:t>13. Risk Assessment and Mitigation</w:t>
      </w:r>
    </w:p>
    <w:tbl>
      <w:tblPr>
        <w:tblStyle w:val="TableGrid"/>
        <w:tblW w:w="0" w:type="auto"/>
        <w:tblLook w:val="04A0" w:firstRow="1" w:lastRow="0" w:firstColumn="1" w:lastColumn="0" w:noHBand="0" w:noVBand="1"/>
      </w:tblPr>
      <w:tblGrid>
        <w:gridCol w:w="2484"/>
        <w:gridCol w:w="2484"/>
        <w:gridCol w:w="2484"/>
        <w:gridCol w:w="2484"/>
      </w:tblGrid>
      <w:tr w:rsidR="004E65E6" w14:paraId="1D686F9A" w14:textId="77777777">
        <w:tc>
          <w:tcPr>
            <w:tcW w:w="2484" w:type="dxa"/>
            <w:shd w:val="clear" w:color="auto" w:fill="EAF2F8"/>
            <w:vAlign w:val="center"/>
          </w:tcPr>
          <w:p w14:paraId="3E8D0399" w14:textId="77777777" w:rsidR="004E65E6" w:rsidRDefault="00000000">
            <w:r>
              <w:rPr>
                <w:b/>
                <w:sz w:val="18"/>
              </w:rPr>
              <w:t>Risk</w:t>
            </w:r>
          </w:p>
        </w:tc>
        <w:tc>
          <w:tcPr>
            <w:tcW w:w="2484" w:type="dxa"/>
            <w:shd w:val="clear" w:color="auto" w:fill="EAF2F8"/>
            <w:vAlign w:val="center"/>
          </w:tcPr>
          <w:p w14:paraId="42CFCB2A" w14:textId="77777777" w:rsidR="004E65E6" w:rsidRDefault="00000000">
            <w:r>
              <w:rPr>
                <w:b/>
                <w:sz w:val="18"/>
              </w:rPr>
              <w:t>Likelihood</w:t>
            </w:r>
          </w:p>
        </w:tc>
        <w:tc>
          <w:tcPr>
            <w:tcW w:w="2484" w:type="dxa"/>
            <w:shd w:val="clear" w:color="auto" w:fill="EAF2F8"/>
            <w:vAlign w:val="center"/>
          </w:tcPr>
          <w:p w14:paraId="38B1E825" w14:textId="77777777" w:rsidR="004E65E6" w:rsidRDefault="00000000">
            <w:r>
              <w:rPr>
                <w:b/>
                <w:sz w:val="18"/>
              </w:rPr>
              <w:t>Impact</w:t>
            </w:r>
          </w:p>
        </w:tc>
        <w:tc>
          <w:tcPr>
            <w:tcW w:w="2484" w:type="dxa"/>
            <w:shd w:val="clear" w:color="auto" w:fill="EAF2F8"/>
            <w:vAlign w:val="center"/>
          </w:tcPr>
          <w:p w14:paraId="1C239DC6" w14:textId="77777777" w:rsidR="004E65E6" w:rsidRDefault="00000000">
            <w:r>
              <w:rPr>
                <w:b/>
                <w:sz w:val="18"/>
              </w:rPr>
              <w:t>Mitigation</w:t>
            </w:r>
          </w:p>
        </w:tc>
      </w:tr>
      <w:tr w:rsidR="004E65E6" w14:paraId="48BA144E" w14:textId="77777777">
        <w:tc>
          <w:tcPr>
            <w:tcW w:w="2484" w:type="dxa"/>
            <w:vAlign w:val="center"/>
          </w:tcPr>
          <w:p w14:paraId="4A8E230A" w14:textId="77777777" w:rsidR="004E65E6" w:rsidRDefault="00000000">
            <w:r>
              <w:rPr>
                <w:sz w:val="18"/>
              </w:rPr>
              <w:t>Incorrect tax-regime selection</w:t>
            </w:r>
          </w:p>
        </w:tc>
        <w:tc>
          <w:tcPr>
            <w:tcW w:w="2484" w:type="dxa"/>
            <w:vAlign w:val="center"/>
          </w:tcPr>
          <w:p w14:paraId="49E30409" w14:textId="77777777" w:rsidR="004E65E6" w:rsidRDefault="00000000">
            <w:r>
              <w:rPr>
                <w:sz w:val="18"/>
              </w:rPr>
              <w:t>Medium</w:t>
            </w:r>
          </w:p>
        </w:tc>
        <w:tc>
          <w:tcPr>
            <w:tcW w:w="2484" w:type="dxa"/>
            <w:vAlign w:val="center"/>
          </w:tcPr>
          <w:p w14:paraId="251E9919" w14:textId="77777777" w:rsidR="004E65E6" w:rsidRDefault="00000000">
            <w:r>
              <w:rPr>
                <w:sz w:val="18"/>
              </w:rPr>
              <w:t>High</w:t>
            </w:r>
          </w:p>
        </w:tc>
        <w:tc>
          <w:tcPr>
            <w:tcW w:w="2484" w:type="dxa"/>
            <w:vAlign w:val="center"/>
          </w:tcPr>
          <w:p w14:paraId="21E42708" w14:textId="77777777" w:rsidR="004E65E6" w:rsidRDefault="00000000">
            <w:r>
              <w:rPr>
                <w:sz w:val="18"/>
              </w:rPr>
              <w:t>Prepare multi-year comparison and obtain professional review</w:t>
            </w:r>
          </w:p>
        </w:tc>
      </w:tr>
      <w:tr w:rsidR="004E65E6" w14:paraId="109515F5" w14:textId="77777777">
        <w:tc>
          <w:tcPr>
            <w:tcW w:w="2484" w:type="dxa"/>
            <w:vAlign w:val="center"/>
          </w:tcPr>
          <w:p w14:paraId="25A9C93B" w14:textId="77777777" w:rsidR="004E65E6" w:rsidRDefault="00000000">
            <w:r>
              <w:rPr>
                <w:sz w:val="18"/>
              </w:rPr>
              <w:t>Unsupported expense claims</w:t>
            </w:r>
          </w:p>
        </w:tc>
        <w:tc>
          <w:tcPr>
            <w:tcW w:w="2484" w:type="dxa"/>
            <w:vAlign w:val="center"/>
          </w:tcPr>
          <w:p w14:paraId="7D99AE8D" w14:textId="77777777" w:rsidR="004E65E6" w:rsidRDefault="00000000">
            <w:r>
              <w:rPr>
                <w:sz w:val="18"/>
              </w:rPr>
              <w:t>Medium</w:t>
            </w:r>
          </w:p>
        </w:tc>
        <w:tc>
          <w:tcPr>
            <w:tcW w:w="2484" w:type="dxa"/>
            <w:vAlign w:val="center"/>
          </w:tcPr>
          <w:p w14:paraId="0BCA5A6D" w14:textId="77777777" w:rsidR="004E65E6" w:rsidRDefault="00000000">
            <w:r>
              <w:rPr>
                <w:sz w:val="18"/>
              </w:rPr>
              <w:t>High</w:t>
            </w:r>
          </w:p>
        </w:tc>
        <w:tc>
          <w:tcPr>
            <w:tcW w:w="2484" w:type="dxa"/>
            <w:vAlign w:val="center"/>
          </w:tcPr>
          <w:p w14:paraId="6CFBBD2B" w14:textId="77777777" w:rsidR="004E65E6" w:rsidRDefault="00000000">
            <w:r>
              <w:rPr>
                <w:sz w:val="18"/>
              </w:rPr>
              <w:t>Invoice, contract, approval and payment controls</w:t>
            </w:r>
          </w:p>
        </w:tc>
      </w:tr>
      <w:tr w:rsidR="004E65E6" w14:paraId="30CD702A" w14:textId="77777777">
        <w:tc>
          <w:tcPr>
            <w:tcW w:w="2484" w:type="dxa"/>
            <w:vAlign w:val="center"/>
          </w:tcPr>
          <w:p w14:paraId="42780AE1" w14:textId="77777777" w:rsidR="004E65E6" w:rsidRDefault="00000000">
            <w:r>
              <w:rPr>
                <w:sz w:val="18"/>
              </w:rPr>
              <w:t>MSME payment timing failure</w:t>
            </w:r>
          </w:p>
        </w:tc>
        <w:tc>
          <w:tcPr>
            <w:tcW w:w="2484" w:type="dxa"/>
            <w:vAlign w:val="center"/>
          </w:tcPr>
          <w:p w14:paraId="12464065" w14:textId="77777777" w:rsidR="004E65E6" w:rsidRDefault="00000000">
            <w:r>
              <w:rPr>
                <w:sz w:val="18"/>
              </w:rPr>
              <w:t>Medium</w:t>
            </w:r>
          </w:p>
        </w:tc>
        <w:tc>
          <w:tcPr>
            <w:tcW w:w="2484" w:type="dxa"/>
            <w:vAlign w:val="center"/>
          </w:tcPr>
          <w:p w14:paraId="2C211053" w14:textId="77777777" w:rsidR="004E65E6" w:rsidRDefault="00000000">
            <w:r>
              <w:rPr>
                <w:sz w:val="18"/>
              </w:rPr>
              <w:t>Medium/High</w:t>
            </w:r>
          </w:p>
        </w:tc>
        <w:tc>
          <w:tcPr>
            <w:tcW w:w="2484" w:type="dxa"/>
            <w:vAlign w:val="center"/>
          </w:tcPr>
          <w:p w14:paraId="0B7C0B62" w14:textId="77777777" w:rsidR="004E65E6" w:rsidRDefault="00000000">
            <w:r>
              <w:rPr>
                <w:sz w:val="18"/>
              </w:rPr>
              <w:t>Vendor master and automated due-date tracking</w:t>
            </w:r>
          </w:p>
        </w:tc>
      </w:tr>
      <w:tr w:rsidR="004E65E6" w14:paraId="48379402" w14:textId="77777777">
        <w:tc>
          <w:tcPr>
            <w:tcW w:w="2484" w:type="dxa"/>
            <w:vAlign w:val="center"/>
          </w:tcPr>
          <w:p w14:paraId="5454D2A0" w14:textId="77777777" w:rsidR="004E65E6" w:rsidRDefault="00000000">
            <w:r>
              <w:rPr>
                <w:sz w:val="18"/>
              </w:rPr>
              <w:t>Incorrect asset classification</w:t>
            </w:r>
          </w:p>
        </w:tc>
        <w:tc>
          <w:tcPr>
            <w:tcW w:w="2484" w:type="dxa"/>
            <w:vAlign w:val="center"/>
          </w:tcPr>
          <w:p w14:paraId="55211605" w14:textId="77777777" w:rsidR="004E65E6" w:rsidRDefault="00000000">
            <w:r>
              <w:rPr>
                <w:sz w:val="18"/>
              </w:rPr>
              <w:t>Medium</w:t>
            </w:r>
          </w:p>
        </w:tc>
        <w:tc>
          <w:tcPr>
            <w:tcW w:w="2484" w:type="dxa"/>
            <w:vAlign w:val="center"/>
          </w:tcPr>
          <w:p w14:paraId="7156AC1C" w14:textId="77777777" w:rsidR="004E65E6" w:rsidRDefault="00000000">
            <w:r>
              <w:rPr>
                <w:sz w:val="18"/>
              </w:rPr>
              <w:t>Medium</w:t>
            </w:r>
          </w:p>
        </w:tc>
        <w:tc>
          <w:tcPr>
            <w:tcW w:w="2484" w:type="dxa"/>
            <w:vAlign w:val="center"/>
          </w:tcPr>
          <w:p w14:paraId="25159666" w14:textId="77777777" w:rsidR="004E65E6" w:rsidRDefault="00000000">
            <w:r>
              <w:rPr>
                <w:sz w:val="18"/>
              </w:rPr>
              <w:t>Maintain fixed-asset register and tax classification review</w:t>
            </w:r>
          </w:p>
        </w:tc>
      </w:tr>
      <w:tr w:rsidR="004E65E6" w14:paraId="6EF52119" w14:textId="77777777">
        <w:tc>
          <w:tcPr>
            <w:tcW w:w="2484" w:type="dxa"/>
            <w:vAlign w:val="center"/>
          </w:tcPr>
          <w:p w14:paraId="1735D91C" w14:textId="77777777" w:rsidR="004E65E6" w:rsidRDefault="00000000">
            <w:r>
              <w:rPr>
                <w:sz w:val="18"/>
              </w:rPr>
              <w:t>Missed filing/payment deadline</w:t>
            </w:r>
          </w:p>
        </w:tc>
        <w:tc>
          <w:tcPr>
            <w:tcW w:w="2484" w:type="dxa"/>
            <w:vAlign w:val="center"/>
          </w:tcPr>
          <w:p w14:paraId="07D6CC7C" w14:textId="77777777" w:rsidR="004E65E6" w:rsidRDefault="00000000">
            <w:r>
              <w:rPr>
                <w:sz w:val="18"/>
              </w:rPr>
              <w:t>Low/Medium</w:t>
            </w:r>
          </w:p>
        </w:tc>
        <w:tc>
          <w:tcPr>
            <w:tcW w:w="2484" w:type="dxa"/>
            <w:vAlign w:val="center"/>
          </w:tcPr>
          <w:p w14:paraId="566F6532" w14:textId="77777777" w:rsidR="004E65E6" w:rsidRDefault="00000000">
            <w:r>
              <w:rPr>
                <w:sz w:val="18"/>
              </w:rPr>
              <w:t>High</w:t>
            </w:r>
          </w:p>
        </w:tc>
        <w:tc>
          <w:tcPr>
            <w:tcW w:w="2484" w:type="dxa"/>
            <w:vAlign w:val="center"/>
          </w:tcPr>
          <w:p w14:paraId="0A8A1931" w14:textId="77777777" w:rsidR="004E65E6" w:rsidRDefault="00000000">
            <w:r>
              <w:rPr>
                <w:sz w:val="18"/>
              </w:rPr>
              <w:t>Tax calendar with owner, reviewer and escalation</w:t>
            </w:r>
          </w:p>
        </w:tc>
      </w:tr>
      <w:tr w:rsidR="004E65E6" w14:paraId="30F22AE9" w14:textId="77777777">
        <w:tc>
          <w:tcPr>
            <w:tcW w:w="2484" w:type="dxa"/>
            <w:vAlign w:val="center"/>
          </w:tcPr>
          <w:p w14:paraId="4D03B40B" w14:textId="77777777" w:rsidR="004E65E6" w:rsidRDefault="00000000">
            <w:r>
              <w:rPr>
                <w:sz w:val="18"/>
              </w:rPr>
              <w:t>Regulatory change</w:t>
            </w:r>
          </w:p>
        </w:tc>
        <w:tc>
          <w:tcPr>
            <w:tcW w:w="2484" w:type="dxa"/>
            <w:vAlign w:val="center"/>
          </w:tcPr>
          <w:p w14:paraId="221EDC7F" w14:textId="77777777" w:rsidR="004E65E6" w:rsidRDefault="00000000">
            <w:r>
              <w:rPr>
                <w:sz w:val="18"/>
              </w:rPr>
              <w:t>Medium</w:t>
            </w:r>
          </w:p>
        </w:tc>
        <w:tc>
          <w:tcPr>
            <w:tcW w:w="2484" w:type="dxa"/>
            <w:vAlign w:val="center"/>
          </w:tcPr>
          <w:p w14:paraId="14FDA717" w14:textId="77777777" w:rsidR="004E65E6" w:rsidRDefault="00000000">
            <w:r>
              <w:rPr>
                <w:sz w:val="18"/>
              </w:rPr>
              <w:t>Medium</w:t>
            </w:r>
          </w:p>
        </w:tc>
        <w:tc>
          <w:tcPr>
            <w:tcW w:w="2484" w:type="dxa"/>
            <w:vAlign w:val="center"/>
          </w:tcPr>
          <w:p w14:paraId="61FFE49C" w14:textId="77777777" w:rsidR="004E65E6" w:rsidRDefault="00000000">
            <w:r>
              <w:rPr>
                <w:sz w:val="18"/>
              </w:rPr>
              <w:t>Quarterly review of official notifications and guidance</w:t>
            </w:r>
          </w:p>
        </w:tc>
      </w:tr>
    </w:tbl>
    <w:p w14:paraId="5564F83F" w14:textId="77777777" w:rsidR="004E65E6" w:rsidRDefault="00000000">
      <w:pPr>
        <w:pStyle w:val="Heading1"/>
      </w:pPr>
      <w:r>
        <w:t>14. Implementation Roadmap</w:t>
      </w:r>
    </w:p>
    <w:p w14:paraId="1D946D4B" w14:textId="77777777" w:rsidR="004E65E6" w:rsidRDefault="00000000">
      <w:pPr>
        <w:jc w:val="center"/>
      </w:pPr>
      <w:r>
        <w:rPr>
          <w:noProof/>
        </w:rPr>
        <w:drawing>
          <wp:inline distT="0" distB="0" distL="0" distR="0" wp14:anchorId="0B181823" wp14:editId="36629C2E">
            <wp:extent cx="6217920" cy="3285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tax_planning_roadmap.png"/>
                    <pic:cNvPicPr/>
                  </pic:nvPicPr>
                  <pic:blipFill>
                    <a:blip r:embed="rId9"/>
                    <a:stretch>
                      <a:fillRect/>
                    </a:stretch>
                  </pic:blipFill>
                  <pic:spPr>
                    <a:xfrm>
                      <a:off x="0" y="0"/>
                      <a:ext cx="6217920" cy="3285672"/>
                    </a:xfrm>
                    <a:prstGeom prst="rect">
                      <a:avLst/>
                    </a:prstGeom>
                  </pic:spPr>
                </pic:pic>
              </a:graphicData>
            </a:graphic>
          </wp:inline>
        </w:drawing>
      </w:r>
    </w:p>
    <w:p w14:paraId="62319901" w14:textId="77777777" w:rsidR="004E65E6" w:rsidRDefault="00000000">
      <w:pPr>
        <w:jc w:val="center"/>
      </w:pPr>
      <w:r>
        <w:t>Figure 2. Proposed implementation roadmap.</w:t>
      </w:r>
    </w:p>
    <w:p w14:paraId="23C7B580" w14:textId="77777777" w:rsidR="004E65E6" w:rsidRDefault="00000000">
      <w:r>
        <w:t>Month 1 should focus on diagnosis: collect the financial data, identify tax-sensitive transactions and establish the compliance calendar. During months 1–2, the finance team can design the tax model, vendor controls and fixed-asset process. Months 2–3 should implement the controls. Quarterly reviews should compare actual results with the tax forecast. At year-end, the company should perform a formal tax review and document lessons for the following year.</w:t>
      </w:r>
    </w:p>
    <w:p w14:paraId="3F8AA5D3" w14:textId="77777777" w:rsidR="004E65E6" w:rsidRDefault="00000000">
      <w:pPr>
        <w:pStyle w:val="Heading1"/>
      </w:pPr>
      <w:r>
        <w:lastRenderedPageBreak/>
        <w:t>15. Governance and Responsibilities</w:t>
      </w:r>
    </w:p>
    <w:p w14:paraId="45085D94" w14:textId="77777777" w:rsidR="004E65E6" w:rsidRDefault="00000000">
      <w:pPr>
        <w:pStyle w:val="ListBullet"/>
      </w:pPr>
      <w:r>
        <w:t>Finance manager: owns the tax-planning model and coordinates the annual review.</w:t>
      </w:r>
    </w:p>
    <w:p w14:paraId="6CFACD01" w14:textId="77777777" w:rsidR="004E65E6" w:rsidRDefault="00000000">
      <w:pPr>
        <w:pStyle w:val="ListBullet"/>
      </w:pPr>
      <w:r>
        <w:t>Accounts team: maintains books, invoices, reconciliations and supporting documents.</w:t>
      </w:r>
    </w:p>
    <w:p w14:paraId="6C97A230" w14:textId="77777777" w:rsidR="004E65E6" w:rsidRDefault="00000000">
      <w:pPr>
        <w:pStyle w:val="ListBullet"/>
      </w:pPr>
      <w:r>
        <w:t>Procurement team: maintains vendor classifications and payment due dates.</w:t>
      </w:r>
    </w:p>
    <w:p w14:paraId="1035EAF9" w14:textId="77777777" w:rsidR="004E65E6" w:rsidRDefault="00000000">
      <w:pPr>
        <w:pStyle w:val="ListBullet"/>
      </w:pPr>
      <w:r>
        <w:t>HR/payroll: maintains employee records and payroll-related tax information.</w:t>
      </w:r>
    </w:p>
    <w:p w14:paraId="7F841CB5" w14:textId="77777777" w:rsidR="004E65E6" w:rsidRDefault="00000000">
      <w:pPr>
        <w:pStyle w:val="ListBullet"/>
      </w:pPr>
      <w:r>
        <w:t>Operations: informs finance about capital purchases, disposals and major contracts.</w:t>
      </w:r>
    </w:p>
    <w:p w14:paraId="0A4E4C2F" w14:textId="77777777" w:rsidR="004E65E6" w:rsidRDefault="00000000">
      <w:pPr>
        <w:pStyle w:val="ListBullet"/>
      </w:pPr>
      <w:r>
        <w:t>Management: approves material tax decisions after reviewing commercial and tax consequences.</w:t>
      </w:r>
    </w:p>
    <w:p w14:paraId="78CD676F" w14:textId="77777777" w:rsidR="004E65E6" w:rsidRDefault="00000000">
      <w:pPr>
        <w:pStyle w:val="ListBullet"/>
      </w:pPr>
      <w:r>
        <w:t>Tax professional/consultant: reviews technical positions, statutory forms and significant risk areas.</w:t>
      </w:r>
    </w:p>
    <w:p w14:paraId="7B060EA6" w14:textId="77777777" w:rsidR="004E65E6" w:rsidRDefault="00000000">
      <w:pPr>
        <w:pStyle w:val="Heading1"/>
      </w:pPr>
      <w:r>
        <w:t>16. Ethical and Legal Boundaries of Tax Planning</w:t>
      </w:r>
    </w:p>
    <w:p w14:paraId="326CE3ED" w14:textId="77777777" w:rsidR="004E65E6" w:rsidRDefault="00000000">
      <w:r>
        <w:t>A professional tax-planning strategy must remain within the law. The company should not create false invoices, conceal income, manipulate records, misstate asset values, fabricate business purposes or route transactions through artificial arrangements solely to obtain an unsupported tax result. Good planning is based on genuine business transactions, correct documentation and provisions that are available to the taxpayer.</w:t>
      </w:r>
    </w:p>
    <w:p w14:paraId="1670CB0D" w14:textId="77777777" w:rsidR="004E65E6" w:rsidRDefault="00000000">
      <w:r>
        <w:t>The safest approach is to document why a transaction is commercially necessary, identify its tax consequences, confirm the applicable legal conditions, and preserve evidence. Where the law is uncertain, management should seek qualified professional advice rather than treating an aggressive interpretation as a guaranteed saving.</w:t>
      </w:r>
    </w:p>
    <w:p w14:paraId="002A5DEF" w14:textId="77777777" w:rsidR="004E65E6" w:rsidRDefault="00000000">
      <w:pPr>
        <w:pStyle w:val="Heading1"/>
      </w:pPr>
      <w:r>
        <w:t>17. Key Recommendations</w:t>
      </w:r>
    </w:p>
    <w:p w14:paraId="746253BE" w14:textId="77777777" w:rsidR="004E65E6" w:rsidRDefault="00000000">
      <w:pPr>
        <w:pStyle w:val="ListBullet"/>
      </w:pPr>
      <w:r>
        <w:t>Build an annual tax model before the financial year closes, with at least two regime scenarios where legally relevant.</w:t>
      </w:r>
    </w:p>
    <w:p w14:paraId="7B338985" w14:textId="77777777" w:rsidR="004E65E6" w:rsidRDefault="00000000">
      <w:pPr>
        <w:pStyle w:val="ListBullet"/>
      </w:pPr>
      <w:r>
        <w:t>Evaluate section 115BAA over multiple years rather than focusing only on one year's headline rate.</w:t>
      </w:r>
    </w:p>
    <w:p w14:paraId="032FB851" w14:textId="77777777" w:rsidR="004E65E6" w:rsidRDefault="00000000">
      <w:pPr>
        <w:pStyle w:val="ListBullet"/>
      </w:pPr>
      <w:r>
        <w:t>Maintain a fixed-asset register and review asset classification before depreciation is calculated.</w:t>
      </w:r>
    </w:p>
    <w:p w14:paraId="58BEBEC9" w14:textId="77777777" w:rsidR="004E65E6" w:rsidRDefault="00000000">
      <w:pPr>
        <w:pStyle w:val="ListBullet"/>
      </w:pPr>
      <w:r>
        <w:t>Create an MSME supplier-payment tracker and reconcile it before year-end.</w:t>
      </w:r>
    </w:p>
    <w:p w14:paraId="28AA0A2D" w14:textId="77777777" w:rsidR="004E65E6" w:rsidRDefault="00000000">
      <w:pPr>
        <w:pStyle w:val="ListBullet"/>
      </w:pPr>
      <w:r>
        <w:t>Use a documented approval process for unusual or high-value expenses.</w:t>
      </w:r>
    </w:p>
    <w:p w14:paraId="1E553312" w14:textId="77777777" w:rsidR="004E65E6" w:rsidRDefault="00000000">
      <w:pPr>
        <w:pStyle w:val="ListBullet"/>
      </w:pPr>
      <w:r>
        <w:t>Reconcile accounting profit to taxable income and retain a clear bridge between the two.</w:t>
      </w:r>
    </w:p>
    <w:p w14:paraId="45950165" w14:textId="77777777" w:rsidR="004E65E6" w:rsidRDefault="00000000">
      <w:pPr>
        <w:pStyle w:val="ListBullet"/>
      </w:pPr>
      <w:r>
        <w:t>Review tax law updates quarterly using official government publications.</w:t>
      </w:r>
    </w:p>
    <w:p w14:paraId="006360F4" w14:textId="77777777" w:rsidR="004E65E6" w:rsidRDefault="00000000">
      <w:pPr>
        <w:pStyle w:val="ListBullet"/>
      </w:pPr>
      <w:r>
        <w:t>Separate tax planning from tax evasion and require management approval for significant positions.</w:t>
      </w:r>
    </w:p>
    <w:p w14:paraId="7F8B1B45" w14:textId="7FA446CA" w:rsidR="004E65E6" w:rsidRDefault="00000000">
      <w:pPr>
        <w:pStyle w:val="Heading1"/>
      </w:pPr>
      <w:r>
        <w:t>18. Conclusion</w:t>
      </w:r>
    </w:p>
    <w:p w14:paraId="16A233D6" w14:textId="77777777" w:rsidR="004E65E6" w:rsidRDefault="00000000">
      <w:r>
        <w:t>The Week 2 exercise demonstrates that strategic income-tax planning is a combination of tax knowledge, financial analysis, business judgment and compliance discipline. In the hypothetical Apex Electronics Components case, the concessional corporate tax regime is a major planning variable, but it should be evaluated alongside the deductions and incentives that may be restricted. The scenario also shows that ordinary operational controls—accurate books, asset registers, supplier-payment tracking, documented expenses and a tax calendar—can have significant tax-risk implications.</w:t>
      </w:r>
    </w:p>
    <w:p w14:paraId="67AB4DB7" w14:textId="3FED5AB6" w:rsidR="004E65E6" w:rsidRDefault="00000000">
      <w:r>
        <w:t>.</w:t>
      </w:r>
    </w:p>
    <w:p w14:paraId="4B018253" w14:textId="77777777" w:rsidR="00DF22A8" w:rsidRDefault="00DF22A8"/>
    <w:sectPr w:rsidR="00DF22A8" w:rsidSect="00034616">
      <w:footerReference w:type="default" r:id="rId10"/>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FAD97" w14:textId="77777777" w:rsidR="00AE1DFB" w:rsidRDefault="00AE1DFB">
      <w:pPr>
        <w:spacing w:after="0" w:line="240" w:lineRule="auto"/>
      </w:pPr>
      <w:r>
        <w:separator/>
      </w:r>
    </w:p>
  </w:endnote>
  <w:endnote w:type="continuationSeparator" w:id="0">
    <w:p w14:paraId="18EEAFBE" w14:textId="77777777" w:rsidR="00AE1DFB" w:rsidRDefault="00AE1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E33E6" w14:textId="0989E8AC" w:rsidR="004E65E6" w:rsidRDefault="004E65E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C59A6" w14:textId="77777777" w:rsidR="00AE1DFB" w:rsidRDefault="00AE1DFB">
      <w:pPr>
        <w:spacing w:after="0" w:line="240" w:lineRule="auto"/>
      </w:pPr>
      <w:r>
        <w:separator/>
      </w:r>
    </w:p>
  </w:footnote>
  <w:footnote w:type="continuationSeparator" w:id="0">
    <w:p w14:paraId="799F2847" w14:textId="77777777" w:rsidR="00AE1DFB" w:rsidRDefault="00AE1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851586">
    <w:abstractNumId w:val="8"/>
  </w:num>
  <w:num w:numId="2" w16cid:durableId="1760783869">
    <w:abstractNumId w:val="6"/>
  </w:num>
  <w:num w:numId="3" w16cid:durableId="883250737">
    <w:abstractNumId w:val="5"/>
  </w:num>
  <w:num w:numId="4" w16cid:durableId="1957565791">
    <w:abstractNumId w:val="4"/>
  </w:num>
  <w:num w:numId="5" w16cid:durableId="1761561904">
    <w:abstractNumId w:val="7"/>
  </w:num>
  <w:num w:numId="6" w16cid:durableId="312101876">
    <w:abstractNumId w:val="3"/>
  </w:num>
  <w:num w:numId="7" w16cid:durableId="1836535428">
    <w:abstractNumId w:val="2"/>
  </w:num>
  <w:num w:numId="8" w16cid:durableId="2146922750">
    <w:abstractNumId w:val="1"/>
  </w:num>
  <w:num w:numId="9" w16cid:durableId="189327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5E6"/>
    <w:rsid w:val="008C748C"/>
    <w:rsid w:val="00AA1D8D"/>
    <w:rsid w:val="00AE1DFB"/>
    <w:rsid w:val="00B47730"/>
    <w:rsid w:val="00C7781D"/>
    <w:rsid w:val="00CB0664"/>
    <w:rsid w:val="00D444F7"/>
    <w:rsid w:val="00DF22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C7436"/>
  <w14:defaultImageDpi w14:val="300"/>
  <w15:docId w15:val="{E2317AAD-2102-4E14-86EF-54E9028F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puppyammulu</cp:lastModifiedBy>
  <cp:revision>3</cp:revision>
  <dcterms:created xsi:type="dcterms:W3CDTF">2026-09-25T07:48:00Z</dcterms:created>
  <dcterms:modified xsi:type="dcterms:W3CDTF">2026-09-25T07:49:00Z</dcterms:modified>
  <cp:category/>
</cp:coreProperties>
</file>