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jc w:val="center"/>
        <w:rPr>
          <w:rFonts w:ascii="Nunito" w:hAnsi="Nunito" w:eastAsia="Nunito" w:cs="Nunito"/>
          <w:sz w:val="48"/>
          <w:szCs w:val="48"/>
          <w:u w:val="single"/>
          <w:shd w:fill="FFDEC6" w:val="clear"/>
        </w:rPr>
      </w:pPr>
      <w:r>
        <w:rPr>
          <w:rFonts w:eastAsia="Nunito" w:cs="Nunito" w:ascii="Nunito" w:hAnsi="Nunito"/>
          <w:sz w:val="48"/>
          <w:szCs w:val="48"/>
          <w:u w:val="single"/>
          <w:shd w:fill="FFDEC6" w:val="clear"/>
        </w:rPr>
      </w:r>
    </w:p>
    <w:p>
      <w:pPr>
        <w:pStyle w:val="LOnormal"/>
        <w:pageBreakBefore w:val="false"/>
        <w:ind w:left="0" w:hanging="0"/>
        <w:jc w:val="both"/>
        <w:rPr>
          <w:rFonts w:ascii="Nunito" w:hAnsi="Nunito" w:eastAsia="Nunito" w:cs="Nunito"/>
          <w:sz w:val="36"/>
          <w:szCs w:val="36"/>
          <w:shd w:fill="FFF4BE" w:val="clear"/>
        </w:rPr>
      </w:pPr>
      <w:r>
        <w:rPr>
          <w:rFonts w:eastAsia="Nunito" w:cs="Nunito" w:ascii="Nunito" w:hAnsi="Nunito"/>
          <w:sz w:val="36"/>
          <w:szCs w:val="36"/>
          <w:shd w:fill="FFF4BE" w:val="clear"/>
        </w:rPr>
        <w:t>Interacción/ comunicación social atípica</w:t>
      </w:r>
    </w:p>
    <w:p>
      <w:pPr>
        <w:pStyle w:val="LOnormal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Ttulo2"/>
        <w:pageBreakBefore w:val="false"/>
        <w:jc w:val="both"/>
        <w:rPr/>
      </w:pPr>
      <w:r>
        <w:rPr/>
        <w:t>Reciprocidad socio-emocional / empatía y alexitimia. Muestras de empatía atípica.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Ttulo2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Ttulo2"/>
        <w:pageBreakBefore w:val="false"/>
        <w:jc w:val="both"/>
        <w:rPr/>
      </w:pPr>
      <w:r>
        <w:rPr/>
        <w:t>Alexitimia y dificultades con la interocepción (fisiológica y emocional)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  <w:bookmarkStart w:id="0" w:name="_u4vs8b3hzpmn"/>
      <w:bookmarkStart w:id="1" w:name="_u4vs8b3hzpmn"/>
      <w:bookmarkEnd w:id="1"/>
    </w:p>
    <w:p>
      <w:pPr>
        <w:pStyle w:val="Ttulo2"/>
        <w:pageBreakBefore w:val="false"/>
        <w:jc w:val="both"/>
        <w:rPr>
          <w:shd w:fill="D2F4EE" w:val="clear"/>
        </w:rPr>
      </w:pPr>
      <w:bookmarkStart w:id="2" w:name="_ldbubdwgfwb7"/>
      <w:bookmarkEnd w:id="2"/>
      <w:r>
        <w:rPr>
          <w:shd w:fill="D2F4EE" w:val="clear"/>
        </w:rPr>
        <w:t>Comunicación no verbal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>
          <w:shd w:fill="E1F2C1" w:val="clear"/>
        </w:rPr>
      </w:pPr>
      <w:r>
        <w:rPr/>
      </w:r>
    </w:p>
    <w:p>
      <w:pPr>
        <w:pStyle w:val="Ttulo2"/>
        <w:pageBreakBefore w:val="false"/>
        <w:jc w:val="both"/>
        <w:rPr>
          <w:shd w:fill="D2F4EE" w:val="clear"/>
        </w:rPr>
      </w:pPr>
      <w:r>
        <w:rPr>
          <w:shd w:fill="D2F4EE" w:val="clear"/>
        </w:rPr>
        <w:t>Dificultad con amistades y relaciones.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>
          <w:shd w:fill="E1F2C1" w:val="clear"/>
        </w:rPr>
      </w:pPr>
      <w:r>
        <w:rPr/>
      </w:r>
    </w:p>
    <w:p>
      <w:pPr>
        <w:pStyle w:val="Ttulo2"/>
        <w:jc w:val="both"/>
        <w:rPr/>
      </w:pPr>
      <w:bookmarkStart w:id="3" w:name="_x2xer6p16pa8"/>
      <w:bookmarkEnd w:id="3"/>
      <w:r>
        <w:rPr/>
        <w:t xml:space="preserve">Disidencias respecto a convenciones sociales 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>
          <w:rFonts w:ascii="Nunito" w:hAnsi="Nunito" w:eastAsia="Nunito" w:cs="Nunito"/>
          <w:sz w:val="36"/>
          <w:szCs w:val="36"/>
          <w:shd w:fill="FFF4BE" w:val="clear"/>
        </w:rPr>
      </w:pPr>
      <w:r>
        <w:rPr>
          <w:rFonts w:eastAsia="Nunito" w:cs="Nunito" w:ascii="Nunito" w:hAnsi="Nunito"/>
          <w:sz w:val="36"/>
          <w:szCs w:val="36"/>
          <w:shd w:fill="FFF4BE" w:val="clear"/>
        </w:rPr>
        <w:t>Comportamientos y actividades restrictivas/ repetitivas</w:t>
      </w:r>
    </w:p>
    <w:p>
      <w:pPr>
        <w:pStyle w:val="LOnormal"/>
        <w:pageBreakBefore w:val="false"/>
        <w:jc w:val="both"/>
        <w:rPr>
          <w:shd w:fill="E1F2C1" w:val="clear"/>
        </w:rPr>
      </w:pPr>
      <w:r>
        <w:rPr>
          <w:shd w:fill="E1F2C1" w:val="clear"/>
        </w:rPr>
      </w:r>
    </w:p>
    <w:p>
      <w:pPr>
        <w:pStyle w:val="Ttulo2"/>
        <w:pageBreakBefore w:val="false"/>
        <w:jc w:val="both"/>
        <w:rPr/>
      </w:pPr>
      <w:bookmarkStart w:id="4" w:name="_56f5z7ljdjvu"/>
      <w:bookmarkEnd w:id="4"/>
      <w:r>
        <w:rPr/>
        <w:t>Autoestimulación/”</w:t>
      </w:r>
      <w:r>
        <w:rPr/>
        <w:t xml:space="preserve">Stimming”. </w:t>
      </w:r>
      <w:r>
        <w:rPr/>
        <w:t>Métodos de autorregulación.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Ttulo2"/>
        <w:pageBreakBefore w:val="false"/>
        <w:jc w:val="both"/>
        <w:rPr/>
      </w:pPr>
      <w:r>
        <w:rPr/>
        <w:t>Ecolalias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9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Ttulo2"/>
        <w:pageBreakBefore w:val="false"/>
        <w:jc w:val="both"/>
        <w:rPr/>
      </w:pPr>
      <w:bookmarkStart w:id="5" w:name="_64q32usipdnp1"/>
      <w:bookmarkEnd w:id="5"/>
      <w:r>
        <w:rPr/>
        <w:t>Comportamiento rígido y patrones de pensamiento atípicos y/o autistas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9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Ttulo2"/>
        <w:jc w:val="both"/>
        <w:rPr/>
      </w:pPr>
      <w:bookmarkStart w:id="6" w:name="_mdj1r8y4ozte"/>
      <w:bookmarkEnd w:id="6"/>
      <w:r>
        <w:rPr/>
        <w:t>Intereses especiales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Ttulo2"/>
        <w:jc w:val="both"/>
        <w:rPr/>
      </w:pPr>
      <w:r>
        <w:rPr/>
      </w:r>
      <w:bookmarkStart w:id="7" w:name="_6qzrsks4t59i"/>
      <w:bookmarkStart w:id="8" w:name="_6qzrsks4t59i"/>
      <w:bookmarkEnd w:id="8"/>
    </w:p>
    <w:p>
      <w:pPr>
        <w:pStyle w:val="Ttulo2"/>
        <w:jc w:val="both"/>
        <w:rPr/>
      </w:pPr>
      <w:bookmarkStart w:id="9" w:name="_zaa0pkde942m"/>
      <w:bookmarkEnd w:id="9"/>
      <w:r>
        <w:rPr/>
        <w:t>Dificultades de interocepción fisiológica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Ttulo2"/>
        <w:pageBreakBefore w:val="false"/>
        <w:jc w:val="both"/>
        <w:rPr/>
      </w:pPr>
      <w:bookmarkStart w:id="10" w:name="_26j79f6ac8fx"/>
      <w:bookmarkEnd w:id="10"/>
      <w:r>
        <w:rPr/>
        <w:t>Problemas sensoriales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Ttulo2"/>
        <w:jc w:val="both"/>
        <w:rPr/>
      </w:pPr>
      <w:bookmarkStart w:id="11" w:name="_tl0ddp9152mj"/>
      <w:bookmarkEnd w:id="11"/>
      <w:r>
        <w:rPr/>
        <w:t>Enfermedades, transtornos, condiciones conocidos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Ttulo2"/>
        <w:jc w:val="both"/>
        <w:rPr/>
      </w:pPr>
      <w:r>
        <w:rPr/>
      </w:r>
      <w:bookmarkStart w:id="12" w:name="_lx82z1iqpv39"/>
      <w:bookmarkStart w:id="13" w:name="_lx82z1iqpv39"/>
      <w:bookmarkEnd w:id="13"/>
    </w:p>
    <w:p>
      <w:pPr>
        <w:pStyle w:val="Ttulo2"/>
        <w:jc w:val="both"/>
        <w:rPr/>
      </w:pPr>
      <w:bookmarkStart w:id="14" w:name="_eicjgdyy4wpe"/>
      <w:bookmarkEnd w:id="14"/>
      <w:r>
        <w:rPr/>
        <w:t>Disfuncionalidad ejecutiva y/o funcionalidad atípica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Ttulo2"/>
        <w:jc w:val="both"/>
        <w:rPr/>
      </w:pPr>
      <w:r>
        <w:rPr/>
      </w:r>
      <w:bookmarkStart w:id="15" w:name="_jzsto7ka3yk8"/>
      <w:bookmarkStart w:id="16" w:name="_jzsto7ka3yk8"/>
      <w:bookmarkEnd w:id="16"/>
    </w:p>
    <w:p>
      <w:pPr>
        <w:pStyle w:val="Ttulo2"/>
        <w:jc w:val="both"/>
        <w:rPr/>
      </w:pPr>
      <w:bookmarkStart w:id="17" w:name="_31v2n7j2tktk"/>
      <w:bookmarkEnd w:id="17"/>
      <w:r>
        <w:rPr/>
        <w:t>Estrategias de enmascaramiento / “Masking”</w:t>
      </w:r>
    </w:p>
    <w:tbl>
      <w:tblPr>
        <w:tblStyle w:val="Table1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LOnormal"/>
        <w:pageBreakBefore w:val="false"/>
        <w:jc w:val="both"/>
        <w:rPr/>
      </w:pPr>
      <w:r>
        <w:rPr/>
      </w:r>
    </w:p>
    <w:p>
      <w:pPr>
        <w:pStyle w:val="LOnormal"/>
        <w:pageBreakBefore w:val="false"/>
        <w:jc w:val="both"/>
        <w:rPr/>
      </w:pPr>
      <w:r>
        <w:rPr/>
      </w:r>
    </w:p>
    <w:p>
      <w:pPr>
        <w:pStyle w:val="LOnormal"/>
        <w:jc w:val="both"/>
        <w:rPr/>
      </w:pPr>
      <w:r>
        <w:rPr>
          <w:rFonts w:eastAsia="Nunito" w:cs="Nunito" w:ascii="Nunito" w:hAnsi="Nunito"/>
          <w:sz w:val="36"/>
          <w:szCs w:val="36"/>
          <w:shd w:fill="FFF4BE" w:val="clear"/>
        </w:rPr>
        <w:t>Rasgos en la infancia/desarrollo</w:t>
      </w:r>
    </w:p>
    <w:tbl>
      <w:tblPr>
        <w:tblStyle w:val="Table1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jc w:val="both"/>
        <w:rPr>
          <w:rFonts w:ascii="Nunito" w:hAnsi="Nunito" w:eastAsia="Nunito" w:cs="Nunito"/>
          <w:sz w:val="36"/>
          <w:szCs w:val="36"/>
          <w:shd w:fill="FFF4BE" w:val="clear"/>
        </w:rPr>
      </w:pPr>
      <w:r>
        <w:rPr>
          <w:rFonts w:eastAsia="Nunito" w:cs="Nunito" w:ascii="Nunito" w:hAnsi="Nunito"/>
          <w:sz w:val="36"/>
          <w:szCs w:val="36"/>
          <w:shd w:fill="FFF4BE" w:val="clear"/>
        </w:rPr>
      </w:r>
    </w:p>
    <w:p>
      <w:pPr>
        <w:pStyle w:val="LOnormal"/>
        <w:jc w:val="both"/>
        <w:rPr/>
      </w:pPr>
      <w:r>
        <w:rPr>
          <w:rFonts w:eastAsia="Nunito" w:cs="Nunito" w:ascii="Nunito" w:hAnsi="Nunito"/>
          <w:sz w:val="36"/>
          <w:szCs w:val="36"/>
          <w:shd w:fill="FFF4BE" w:val="clear"/>
        </w:rPr>
        <w:t>Efecto en la vida diaria</w:t>
      </w:r>
    </w:p>
    <w:tbl>
      <w:tblPr>
        <w:tblStyle w:val="Table1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>
          <w:shd w:fill="EAD2F4" w:val="clear"/>
        </w:rPr>
      </w:pPr>
      <w:r>
        <w:rPr>
          <w:shd w:fill="EAD2F4" w:val="clear"/>
        </w:rPr>
        <w:t xml:space="preserve">Otros </w:t>
      </w:r>
    </w:p>
    <w:tbl>
      <w:tblPr>
        <w:tblStyle w:val="Table15"/>
        <w:tblW w:w="93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75"/>
      </w:tblGrid>
      <w:tr>
        <w:trPr/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ind w:left="0" w:hanging="0"/>
              <w:jc w:val="both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jc w:val="both"/>
        <w:rPr>
          <w:rFonts w:ascii="Nunito" w:hAnsi="Nunito" w:eastAsia="Nunito" w:cs="Nunito"/>
          <w:color w:val="666666"/>
          <w:sz w:val="16"/>
          <w:szCs w:val="16"/>
        </w:rPr>
      </w:pPr>
      <w:r>
        <w:rPr/>
      </w:r>
    </w:p>
    <w:sectPr>
      <w:type w:val="nextPage"/>
      <w:pgSz w:w="12240" w:h="15840"/>
      <w:pgMar w:left="1440" w:right="1440" w:gutter="0" w:header="0" w:top="72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</w:pPr>
    <w:rPr>
      <w:shd w:fill="D2F4EE" w:val="clear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LibreOffice/7.4.2.3$Linux_X86_64 LibreOffice_project/40$Build-3</Application>
  <AppVersion>15.0000</AppVersion>
  <Pages>2</Pages>
  <Words>87</Words>
  <Characters>703</Characters>
  <CharactersWithSpaces>773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>Jorge Sánchez</cp:lastModifiedBy>
  <dcterms:modified xsi:type="dcterms:W3CDTF">2022-11-21T00:54:50Z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