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Музей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растворён в ландшафте, продолжая мягкие изгибы холмов и линий фиолетовых полей. Низкий, обтекаемый объём будто плывёт над землёй, отражая закатный свет в стеклянных плоскостях и создавая ощущение спокойного движения.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Внутри — пространство тишины и созерцания, где архитектура не диктует, а мягко ведёт посетителя, позволяя взглянуть на искусство и природу как на единый, непрерывный диалог.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