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Архитектура — это не только форма и функция, но и отражение культурного наследия, памяти поколений и гармонии с природой. Мы способны воображать лишь то, что однажды узрели — ведь наше воображение питается зрительной памятью. Ничто не возникает из пустоты.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“Он — Тот, Кто сотворил ночь и день, солнце и луну. Все плывут по орбитам.” (Коран, 21:33)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В этой Божественной гармонии движений и ритмов мы черпаем вдохновение. Сегодня, с помощью искусственного интеллекта, мы не просто визуализируем идеи — мы проникаем в саму суть архитектурного замысла уже на самых ранних этапах проекта. Технологии становятся проводником между воображением и реальностью, помогая нам строить будущее, укоренённое в памяти, вере и природе.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