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Petrocity Bonje POC Findings: Octane Orbit and ROHE FDC Integration</w:t>
      </w:r>
    </w:p>
    <w:p>
      <w:pPr/>
      <w:r>
        <w:t xml:space="preserve">Oct 29, 2026</w:t>
      </w:r>
      <w:r>
        <w:t xml:space="preserve"> · </w:t>
      </w:r>
      <w:r>
        <w:t xml:space="preserve">@Jeremy</w:t>
      </w:r>
    </w:p>
    <w:p>
      <w:pPr>
        <w:pStyle w:val="Heading2"/>
      </w:pPr>
      <w:r>
        <w:t xml:space="preserve">Result</w:t>
      </w:r>
    </w:p>
    <w:p>
      <w:pPr/>
      <w:r>
        <w:t xml:space="preserve">Test site: Petrocity Bonje, 23 Sep to 27 Oct 2026 (35 days), diesel and petrol. Octane matched the FDC exactly on 31 of 35 days. Where they differ, Octane is missing transactions the FDC recorded. It never records different amounts.</w:t>
      </w:r>
    </w:p>
    <w:tbl>
      <w:tblPr>
        <w:tblStyle w:val="TableGrid"/>
        <w:tblW w:w="0" w:type="auto"/>
        <w:tblLayout w:type="fixed"/>
        <w:tblLook w:val="04A0" w:firstRow="1" w:lastRow="0" w:firstColumn="0" w:lastColumn="0" w:noHBand="0" w:noVBand="1"/>
      </w:tblPr>
      <w:tblGrid>
        <w:gridCol w:w="1582"/>
        <w:gridCol w:w="2134"/>
        <w:gridCol w:w="2337"/>
        <w:gridCol w:w="3305"/>
      </w:tblGrid>
      <w:tr>
        <w:trPr>
          <w:tblHeader/>
        </w:trPr>
        <w:tc>
          <w:tcPr>
            <w:tcW w:w="1582" w:type="dxa"/>
            <w:shd w:val="clear" w:color="auto" w:fill="F2F2F2"/>
          </w:tcPr>
          <w:p>
            <w:pPr/>
            <w:r>
              <w:t xml:space="preserve">Fuel</w:t>
            </w:r>
          </w:p>
        </w:tc>
        <w:tc>
          <w:tcPr>
            <w:tcW w:w="2134" w:type="dxa"/>
            <w:shd w:val="clear" w:color="auto" w:fill="F2F2F2"/>
          </w:tcPr>
          <w:p>
            <w:pPr/>
            <w:r>
              <w:t xml:space="preserve">FDC (L)</w:t>
            </w:r>
          </w:p>
        </w:tc>
        <w:tc>
          <w:tcPr>
            <w:tcW w:w="2337" w:type="dxa"/>
            <w:shd w:val="clear" w:color="auto" w:fill="F2F2F2"/>
          </w:tcPr>
          <w:p>
            <w:pPr/>
            <w:r>
              <w:t xml:space="preserve">Octane (L)</w:t>
            </w:r>
          </w:p>
        </w:tc>
        <w:tc>
          <w:tcPr>
            <w:tcW w:w="3305" w:type="dxa"/>
            <w:shd w:val="clear" w:color="auto" w:fill="F2F2F2"/>
          </w:tcPr>
          <w:p>
            <w:pPr/>
            <w:r>
              <w:t xml:space="preserve">Octane captured</w:t>
            </w:r>
          </w:p>
        </w:tc>
      </w:tr>
      <w:tr>
        <w:tc>
          <w:tcPr>
            <w:tcW w:w="1582" w:type="dxa"/>
          </w:tcPr>
          <w:p>
            <w:pPr/>
            <w:r>
              <w:t xml:space="preserve">Diesel</w:t>
            </w:r>
          </w:p>
        </w:tc>
        <w:tc>
          <w:tcPr>
            <w:tcW w:w="2134" w:type="dxa"/>
          </w:tcPr>
          <w:p>
            <w:pPr/>
            <w:r>
              <w:t xml:space="preserve">655,415.9</w:t>
            </w:r>
          </w:p>
        </w:tc>
        <w:tc>
          <w:tcPr>
            <w:tcW w:w="2337" w:type="dxa"/>
          </w:tcPr>
          <w:p>
            <w:pPr/>
            <w:r>
              <w:t xml:space="preserve">637,281.8</w:t>
            </w:r>
          </w:p>
        </w:tc>
        <w:tc>
          <w:tcPr>
            <w:tcW w:w="3305" w:type="dxa"/>
          </w:tcPr>
          <w:p>
            <w:pPr/>
            <w:r>
              <w:t xml:space="preserve">97.2%</w:t>
            </w:r>
          </w:p>
        </w:tc>
      </w:tr>
      <w:tr>
        <w:tc>
          <w:tcPr>
            <w:tcW w:w="1582" w:type="dxa"/>
          </w:tcPr>
          <w:p>
            <w:pPr/>
            <w:r>
              <w:t xml:space="preserve">Petrol</w:t>
            </w:r>
          </w:p>
        </w:tc>
        <w:tc>
          <w:tcPr>
            <w:tcW w:w="2134" w:type="dxa"/>
          </w:tcPr>
          <w:p>
            <w:pPr/>
            <w:r>
              <w:t xml:space="preserve">33,597.4</w:t>
            </w:r>
          </w:p>
        </w:tc>
        <w:tc>
          <w:tcPr>
            <w:tcW w:w="2337" w:type="dxa"/>
          </w:tcPr>
          <w:p>
            <w:pPr/>
            <w:r>
              <w:t xml:space="preserve">32,990.8</w:t>
            </w:r>
          </w:p>
        </w:tc>
        <w:tc>
          <w:tcPr>
            <w:tcW w:w="3305" w:type="dxa"/>
          </w:tcPr>
          <w:p>
            <w:pPr/>
            <w:r>
              <w:t xml:space="preserve">98.2%</w:t>
            </w:r>
          </w:p>
        </w:tc>
      </w:tr>
    </w:tbl>
    <w:p>
      <w:pPr/>
      <w:r>
        <w:t xml:space="preserve">Excluding the first day (23 Sep), Octane captured 99.7% of diesel and 99.6% of petrol.</w:t>
      </w:r>
    </w:p>
    <w:p>
      <w:pPr>
        <w:pStyle w:val="Heading2"/>
      </w:pPr>
      <w:r>
        <w:t xml:space="preserve">Days that did not match</w:t>
      </w:r>
    </w:p>
    <w:tbl>
      <w:tblPr>
        <w:tblStyle w:val="TableGrid"/>
        <w:tblW w:w="0" w:type="auto"/>
        <w:tblLayout w:type="fixed"/>
        <w:tblLook w:val="04A0" w:firstRow="1" w:lastRow="0" w:firstColumn="0" w:lastColumn="0" w:noHBand="0" w:noVBand="1"/>
      </w:tblPr>
      <w:tblGrid>
        <w:gridCol w:w="1492"/>
        <w:gridCol w:w="909"/>
        <w:gridCol w:w="1226"/>
        <w:gridCol w:w="1343"/>
        <w:gridCol w:w="1226"/>
        <w:gridCol w:w="3164"/>
      </w:tblGrid>
      <w:tr>
        <w:trPr>
          <w:tblHeader/>
        </w:trPr>
        <w:tc>
          <w:tcPr>
            <w:tcW w:w="1492" w:type="dxa"/>
            <w:shd w:val="clear" w:color="auto" w:fill="F2F2F2"/>
          </w:tcPr>
          <w:p>
            <w:pPr/>
            <w:r>
              <w:t xml:space="preserve">Date / window</w:t>
            </w:r>
          </w:p>
        </w:tc>
        <w:tc>
          <w:tcPr>
            <w:tcW w:w="909" w:type="dxa"/>
            <w:shd w:val="clear" w:color="auto" w:fill="F2F2F2"/>
          </w:tcPr>
          <w:p>
            <w:pPr/>
            <w:r>
              <w:t xml:space="preserve">Fuel</w:t>
            </w:r>
          </w:p>
        </w:tc>
        <w:tc>
          <w:tcPr>
            <w:tcW w:w="1226" w:type="dxa"/>
            <w:shd w:val="clear" w:color="auto" w:fill="F2F2F2"/>
          </w:tcPr>
          <w:p>
            <w:pPr/>
            <w:r>
              <w:t xml:space="preserve">FDC (L)</w:t>
            </w:r>
          </w:p>
        </w:tc>
        <w:tc>
          <w:tcPr>
            <w:tcW w:w="1343" w:type="dxa"/>
            <w:shd w:val="clear" w:color="auto" w:fill="F2F2F2"/>
          </w:tcPr>
          <w:p>
            <w:pPr/>
            <w:r>
              <w:t xml:space="preserve">Octane (L)</w:t>
            </w:r>
          </w:p>
        </w:tc>
        <w:tc>
          <w:tcPr>
            <w:tcW w:w="1226" w:type="dxa"/>
            <w:shd w:val="clear" w:color="auto" w:fill="F2F2F2"/>
          </w:tcPr>
          <w:p>
            <w:pPr/>
            <w:r>
              <w:t xml:space="preserve">FDC minus Octane (L)</w:t>
            </w:r>
          </w:p>
        </w:tc>
        <w:tc>
          <w:tcPr>
            <w:tcW w:w="3164" w:type="dxa"/>
            <w:shd w:val="clear" w:color="auto" w:fill="F2F2F2"/>
          </w:tcPr>
          <w:p>
            <w:pPr/>
            <w:r>
              <w:t xml:space="preserve">Note</w:t>
            </w:r>
          </w:p>
        </w:tc>
      </w:tr>
      <w:tr>
        <w:tc>
          <w:tcPr>
            <w:tcW w:w="1492" w:type="dxa"/>
          </w:tcPr>
          <w:p>
            <w:pPr/>
            <w:r>
              <w:t xml:space="preserve">23 Sep, full day</w:t>
            </w:r>
          </w:p>
        </w:tc>
        <w:tc>
          <w:tcPr>
            <w:tcW w:w="909" w:type="dxa"/>
          </w:tcPr>
          <w:p>
            <w:pPr/>
            <w:r>
              <w:t xml:space="preserve">Diesel</w:t>
            </w:r>
          </w:p>
        </w:tc>
        <w:tc>
          <w:tcPr>
            <w:tcW w:w="1226" w:type="dxa"/>
          </w:tcPr>
          <w:p>
            <w:pPr/>
            <w:r>
              <w:t xml:space="preserve">28,151.68</w:t>
            </w:r>
          </w:p>
        </w:tc>
        <w:tc>
          <w:tcPr>
            <w:tcW w:w="1343" w:type="dxa"/>
          </w:tcPr>
          <w:p>
            <w:pPr/>
            <w:r>
              <w:t xml:space="preserve">11,790.08</w:t>
            </w:r>
          </w:p>
        </w:tc>
        <w:tc>
          <w:tcPr>
            <w:tcW w:w="1226" w:type="dxa"/>
          </w:tcPr>
          <w:p>
            <w:pPr/>
            <w:r>
              <w:t xml:space="preserve">16,361.60</w:t>
            </w:r>
          </w:p>
        </w:tc>
        <w:tc>
          <w:tcPr>
            <w:tcW w:w="3164" w:type="dxa"/>
          </w:tcPr>
          <w:p>
            <w:pPr/>
            <w:r>
              <w:t xml:space="preserve">Start-up day; Octane saw about 42% of the day while data was still arriving through the FDC's upload queue (to be confirmed)</w:t>
            </w:r>
          </w:p>
        </w:tc>
      </w:tr>
      <w:tr>
        <w:tc>
          <w:tcPr>
            <w:tcW w:w="1492" w:type="dxa"/>
          </w:tcPr>
          <w:p>
            <w:pPr/>
            <w:r>
              <w:t xml:space="preserve">23 Sep, full day</w:t>
            </w:r>
          </w:p>
        </w:tc>
        <w:tc>
          <w:tcPr>
            <w:tcW w:w="909" w:type="dxa"/>
          </w:tcPr>
          <w:p>
            <w:pPr/>
            <w:r>
              <w:t xml:space="preserve">Petrol</w:t>
            </w:r>
          </w:p>
        </w:tc>
        <w:tc>
          <w:tcPr>
            <w:tcW w:w="1226" w:type="dxa"/>
          </w:tcPr>
          <w:p>
            <w:pPr/>
            <w:r>
              <w:t xml:space="preserve">1,005.31</w:t>
            </w:r>
          </w:p>
        </w:tc>
        <w:tc>
          <w:tcPr>
            <w:tcW w:w="1343" w:type="dxa"/>
          </w:tcPr>
          <w:p>
            <w:pPr/>
            <w:r>
              <w:t xml:space="preserve">522.94</w:t>
            </w:r>
          </w:p>
        </w:tc>
        <w:tc>
          <w:tcPr>
            <w:tcW w:w="1226" w:type="dxa"/>
          </w:tcPr>
          <w:p>
            <w:pPr/>
            <w:r>
              <w:t xml:space="preserve">482.37</w:t>
            </w:r>
          </w:p>
        </w:tc>
        <w:tc>
          <w:tcPr>
            <w:tcW w:w="3164" w:type="dxa"/>
          </w:tcPr>
          <w:p>
            <w:pPr/>
            <w:r>
              <w:t xml:space="preserve">Same cause</w:t>
            </w:r>
          </w:p>
        </w:tc>
      </w:tr>
      <w:tr>
        <w:tc>
          <w:tcPr>
            <w:tcW w:w="1492" w:type="dxa"/>
          </w:tcPr>
          <w:p>
            <w:pPr/>
            <w:r>
              <w:t xml:space="preserve">30 Sep 16:45 to 1 Oct 07:30</w:t>
            </w:r>
          </w:p>
        </w:tc>
        <w:tc>
          <w:tcPr>
            <w:tcW w:w="909" w:type="dxa"/>
          </w:tcPr>
          <w:p>
            <w:pPr/>
            <w:r>
              <w:t xml:space="preserve">Diesel</w:t>
            </w:r>
          </w:p>
        </w:tc>
        <w:tc>
          <w:tcPr>
            <w:tcW w:w="1226" w:type="dxa"/>
          </w:tcPr>
          <w:p>
            <w:pPr/>
            <w:r>
              <w:t xml:space="preserve">25,816.62</w:t>
            </w:r>
          </w:p>
        </w:tc>
        <w:tc>
          <w:tcPr>
            <w:tcW w:w="1343" w:type="dxa"/>
          </w:tcPr>
          <w:p>
            <w:pPr/>
            <w:r>
              <w:t xml:space="preserve">24,044.09</w:t>
            </w:r>
          </w:p>
        </w:tc>
        <w:tc>
          <w:tcPr>
            <w:tcW w:w="1226" w:type="dxa"/>
          </w:tcPr>
          <w:p>
            <w:pPr/>
            <w:r>
              <w:t xml:space="preserve">1,772.53</w:t>
            </w:r>
          </w:p>
        </w:tc>
        <w:tc>
          <w:tcPr>
            <w:tcW w:w="3164" w:type="dxa"/>
          </w:tcPr>
          <w:p>
            <w:pPr/>
            <w:r>
              <w:t xml:space="preserve">Under investigation; missing transactions to be added back (see How to fix it)</w:t>
            </w:r>
          </w:p>
        </w:tc>
      </w:tr>
      <w:tr>
        <w:tc>
          <w:tcPr>
            <w:tcW w:w="1492" w:type="dxa"/>
          </w:tcPr>
          <w:p>
            <w:pPr/>
            <w:r>
              <w:t xml:space="preserve">30 Sep 16:45 to 1 Oct 07:30</w:t>
            </w:r>
          </w:p>
        </w:tc>
        <w:tc>
          <w:tcPr>
            <w:tcW w:w="909" w:type="dxa"/>
          </w:tcPr>
          <w:p>
            <w:pPr/>
            <w:r>
              <w:t xml:space="preserve">Petrol</w:t>
            </w:r>
          </w:p>
        </w:tc>
        <w:tc>
          <w:tcPr>
            <w:tcW w:w="1226" w:type="dxa"/>
          </w:tcPr>
          <w:p>
            <w:pPr/>
            <w:r>
              <w:t xml:space="preserve">1,522.54</w:t>
            </w:r>
          </w:p>
        </w:tc>
        <w:tc>
          <w:tcPr>
            <w:tcW w:w="1343" w:type="dxa"/>
          </w:tcPr>
          <w:p>
            <w:pPr/>
            <w:r>
              <w:t xml:space="preserve">1,403.82</w:t>
            </w:r>
          </w:p>
        </w:tc>
        <w:tc>
          <w:tcPr>
            <w:tcW w:w="1226" w:type="dxa"/>
          </w:tcPr>
          <w:p>
            <w:pPr/>
            <w:r>
              <w:t xml:space="preserve">118.72</w:t>
            </w:r>
          </w:p>
        </w:tc>
        <w:tc>
          <w:tcPr>
            <w:tcW w:w="3164" w:type="dxa"/>
          </w:tcPr>
          <w:p>
            <w:pPr/>
            <w:r>
              <w:t xml:space="preserve">Same window</w:t>
            </w:r>
          </w:p>
        </w:tc>
      </w:tr>
      <w:tr>
        <w:tc>
          <w:tcPr>
            <w:tcW w:w="1492" w:type="dxa"/>
          </w:tcPr>
          <w:p>
            <w:pPr/>
            <w:r>
              <w:t xml:space="preserve">3 Oct</w:t>
            </w:r>
          </w:p>
        </w:tc>
        <w:tc>
          <w:tcPr>
            <w:tcW w:w="909" w:type="dxa"/>
          </w:tcPr>
          <w:p>
            <w:pPr/>
            <w:r>
              <w:t xml:space="preserve">Petrol</w:t>
            </w:r>
          </w:p>
        </w:tc>
        <w:tc>
          <w:tcPr>
            <w:tcW w:w="1226" w:type="dxa"/>
          </w:tcPr>
          <w:p>
            <w:pPr/>
            <w:r>
              <w:t xml:space="preserve">947.08</w:t>
            </w:r>
          </w:p>
        </w:tc>
        <w:tc>
          <w:tcPr>
            <w:tcW w:w="1343" w:type="dxa"/>
          </w:tcPr>
          <w:p>
            <w:pPr/>
            <w:r>
              <w:t xml:space="preserve">941.08</w:t>
            </w:r>
          </w:p>
        </w:tc>
        <w:tc>
          <w:tcPr>
            <w:tcW w:w="1226" w:type="dxa"/>
          </w:tcPr>
          <w:p>
            <w:pPr/>
            <w:r>
              <w:t xml:space="preserve">6.00</w:t>
            </w:r>
          </w:p>
        </w:tc>
        <w:tc>
          <w:tcPr>
            <w:tcW w:w="3164" w:type="dxa"/>
          </w:tcPr>
          <w:p>
            <w:pPr/>
            <w:r>
              <w:t xml:space="preserve">Single small difference</w:t>
            </w:r>
          </w:p>
        </w:tc>
      </w:tr>
      <w:tr>
        <w:tc>
          <w:tcPr>
            <w:tcW w:w="1492" w:type="dxa"/>
          </w:tcPr>
          <w:p>
            <w:pPr/>
            <w:r>
              <w:t xml:space="preserve">30 Sep 07:30 to 16:45</w:t>
            </w:r>
          </w:p>
        </w:tc>
        <w:tc>
          <w:tcPr>
            <w:tcW w:w="909" w:type="dxa"/>
          </w:tcPr>
          <w:p>
            <w:pPr/>
            <w:r>
              <w:t xml:space="preserve">Petrol</w:t>
            </w:r>
          </w:p>
        </w:tc>
        <w:tc>
          <w:tcPr>
            <w:tcW w:w="1226" w:type="dxa"/>
          </w:tcPr>
          <w:p>
            <w:pPr/>
            <w:r>
              <w:t xml:space="preserve">517.88</w:t>
            </w:r>
          </w:p>
        </w:tc>
        <w:tc>
          <w:tcPr>
            <w:tcW w:w="1343" w:type="dxa"/>
          </w:tcPr>
          <w:p>
            <w:pPr/>
            <w:r>
              <w:t xml:space="preserve">518.36</w:t>
            </w:r>
          </w:p>
        </w:tc>
        <w:tc>
          <w:tcPr>
            <w:tcW w:w="1226" w:type="dxa"/>
          </w:tcPr>
          <w:p>
            <w:pPr/>
            <w:r>
              <w:t xml:space="preserve">-0.48</w:t>
            </w:r>
          </w:p>
        </w:tc>
        <w:tc>
          <w:tcPr>
            <w:tcW w:w="3164" w:type="dxa"/>
          </w:tcPr>
          <w:p>
            <w:pPr/>
            <w:r>
              <w:t xml:space="preserve">Octane marginally higher; rounding level</w:t>
            </w:r>
          </w:p>
        </w:tc>
      </w:tr>
    </w:tbl>
    <w:p>
      <w:pPr>
        <w:pStyle w:val="Heading2"/>
      </w:pPr>
      <w:r>
        <w:t xml:space="preserve">Why the differences happen</w:t>
      </w:r>
    </w:p>
    <w:p>
      <w:pPr/>
      <w:r>
        <w:t xml:space="preserve">The differences are transactions that had not reached Octane yet. The FDC sends its data slowly, about one batch every 3 minutes, so transactions can queue for hours when the station is busy.</w:t>
      </w:r>
    </w:p>
    <w:p>
      <w:pPr>
        <w:pStyle w:val="Heading2"/>
      </w:pPr>
      <w:r>
        <w:t xml:space="preserve">How to fix it</w:t>
      </w:r>
    </w:p>
    <w:p>
      <w:pPr>
        <w:pStyle w:val="ListParagraph"/>
        <w:numPr>
          <w:ilvl w:val="0"/>
          <w:numId w:val="2"/>
        </w:numPr>
      </w:pPr>
      <w:r>
        <w:rPr>
          <w:b/>
        </w:rPr>
        <w:t xml:space="preserve">ROHE:</w:t>
      </w:r>
      <w:r>
        <w:t xml:space="preserve"> increase the FDC's upload speed, or allow larger batches.</w:t>
      </w:r>
    </w:p>
    <w:p>
      <w:pPr>
        <w:pStyle w:val="ListParagraph"/>
        <w:numPr>
          <w:ilvl w:val="0"/>
          <w:numId w:val="2"/>
        </w:numPr>
      </w:pPr>
      <w:r>
        <w:rPr>
          <w:b/>
        </w:rPr>
        <w:t xml:space="preserve">Octane:</w:t>
      </w:r>
      <w:r>
        <w:t xml:space="preserve"> add the missing 30 Sep to 1 Oct transactions from the FDC's own records, then re-check. We expect an exact match.</w:t>
      </w:r>
    </w:p>
    <w:p>
      <w:pPr>
        <w:pStyle w:val="ListParagraph"/>
        <w:numPr>
          <w:ilvl w:val="0"/>
          <w:numId w:val="2"/>
        </w:numPr>
      </w:pPr>
      <w:r>
        <w:rPr>
          <w:b/>
        </w:rPr>
        <w:t xml:space="preserve">Both:</w:t>
      </w:r>
      <w:r>
        <w:t xml:space="preserve"> confirm the cause of the 23 Sep and 30 Sep to 1 Oct differences.</w:t>
      </w:r>
    </w:p>
    <w:p>
      <w:pPr/>
      <w:r>
        <w:t xml:space="preserve">Once the upload speed is fixed and the gaps are filled, Octane should match the FDC 100% every day.</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Petrocity Bonje POC Findings Octane Orbit and ROHE FDC Integration</dc:title>
  <dc:description>Claude Docs node/74e3dbbe-f18b@24 docx-w7</dc:description>
  <cp:revision>24</cp:revision>
</cp:coreProperties>
</file>