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Petrocity Bonje POC Findings: Octane Orbit and ROHE FDC Integration</w:t>
      </w:r>
    </w:p>
    <w:p>
      <w:pPr/>
      <w:r>
        <w:t xml:space="preserve">Oct 29, 2026</w:t>
      </w:r>
      <w:r>
        <w:t xml:space="preserve"> · </w:t>
      </w:r>
      <w:r>
        <w:t xml:space="preserve">@Jeremy</w:t>
      </w:r>
    </w:p>
    <w:p>
      <w:pPr>
        <w:pStyle w:val="Heading2"/>
      </w:pPr>
      <w:r>
        <w:t xml:space="preserve">Summary</w:t>
      </w:r>
    </w:p>
    <w:p>
      <w:pPr/>
      <w:r>
        <w:t xml:space="preserve">Octane Orbit reproduced the ROHE FDC's transaction data exactly on 31 of 35 test days (23 Sep to 27 Oct 2026). Excluding the first day, Octane captured 99.7% of diesel and 99.6% of petrol volume recorded by the FDC.</w:t>
      </w:r>
    </w:p>
    <w:p>
      <w:pPr/>
      <w:r>
        <w:t xml:space="preserve">The variance the station sees comes mainly from its own SUMMARY figures, which differ from the FDC on most days and in a consistent direction for petrol. It does not come from Octane's capture of the FDC data.</w:t>
      </w:r>
    </w:p>
    <w:p>
      <w:pPr/>
      <w:r>
        <w:t xml:space="preserve">Exceptions are limited to 23 Sep (start-up), the evening of 30 Sep to 1 Oct (still being traced) and a 6 L petrol difference on 3 Oct. The differences are windows where transactions had not yet reached Octane. The main constraint is the FDC's fixed upload rate (about one file every 3 minutes), which ROHE can address.</w:t>
      </w:r>
    </w:p>
    <w:p>
      <w:pPr>
        <w:pStyle w:val="Heading2"/>
      </w:pPr>
      <w:r>
        <w:t xml:space="preserve">Scope and test setup</w:t>
      </w:r>
    </w:p>
    <w:p>
      <w:pPr/>
      <w:r>
        <w:t xml:space="preserve">The POC ran at Petrocity Bonje from 23 Sep to 27 Oct 2026 (35 daily records, 07:30 to 07:30 reporting day). It compared three sources of daily volume for diesel (AGO) and petrol (PMS):</w:t>
      </w:r>
    </w:p>
    <w:p>
      <w:pPr>
        <w:pStyle w:val="ListParagraph"/>
        <w:numPr>
          <w:ilvl w:val="0"/>
          <w:numId w:val="2"/>
        </w:numPr>
      </w:pPr>
      <w:r>
        <w:rPr>
          <w:b/>
        </w:rPr>
        <w:t xml:space="preserve">SUMMARY:</w:t>
      </w:r>
      <w:r>
        <w:t xml:space="preserve"> the station's own daily summary figure.</w:t>
      </w:r>
    </w:p>
    <w:p>
      <w:pPr>
        <w:pStyle w:val="ListParagraph"/>
        <w:numPr>
          <w:ilvl w:val="0"/>
          <w:numId w:val="2"/>
        </w:numPr>
      </w:pPr>
      <w:r>
        <w:rPr>
          <w:b/>
        </w:rPr>
        <w:t xml:space="preserve">FDC:</w:t>
      </w:r>
      <w:r>
        <w:t xml:space="preserve"> the ROHE/ROSYS Forecourt Data Controller's transaction records. It is the device's own record of dispensed fuel.</w:t>
      </w:r>
    </w:p>
    <w:p>
      <w:pPr>
        <w:pStyle w:val="ListParagraph"/>
        <w:numPr>
          <w:ilvl w:val="0"/>
          <w:numId w:val="2"/>
        </w:numPr>
      </w:pPr>
      <w:r>
        <w:rPr>
          <w:b/>
        </w:rPr>
        <w:t xml:space="preserve">Octane Orbit:</w:t>
      </w:r>
      <w:r>
        <w:t xml:space="preserve"> volumes captured by Octane from the FDC and stored in its database.</w:t>
      </w:r>
    </w:p>
    <w:p>
      <w:pPr/>
      <w:r>
        <w:t xml:space="preserve">The site has seven diesel tanks and one petrol tank, with a mix of modern smart pumps and older Gilbarco pumps. Tank monitoring runs on an Automan Phoenix ATG unit. Octane receives the FDC's transaction data on the Octane server and reconciles it against the FDC's records.</w:t>
      </w:r>
    </w:p>
    <w:p>
      <w:pPr/>
      <w:r>
        <w:t xml:space="preserve">[Placeholder: confirm the integration go-live date and which pumps are connected to the FDC.]</w:t>
      </w:r>
    </w:p>
    <w:p>
      <w:pPr>
        <w:pStyle w:val="Heading2"/>
      </w:pPr>
      <w:r>
        <w:t xml:space="preserve">Results: Octane vs FDC</w:t>
      </w:r>
    </w:p>
    <w:p>
      <w:pPr/>
      <w:r>
        <w:t xml:space="preserve">Over the full period Octane captured 97.2% of FDC diesel and 98.2% of FDC petrol. Excluding 23 Sep, the first day, capture was 99.7% and 99.6%.</w:t>
      </w:r>
    </w:p>
    <w:tbl>
      <w:tblPr>
        <w:tblStyle w:val="TableGrid"/>
        <w:tblW w:w="0" w:type="auto"/>
        <w:tblLayout w:type="fixed"/>
        <w:tblLook w:val="04A0" w:firstRow="1" w:lastRow="0" w:firstColumn="0" w:lastColumn="0" w:noHBand="0" w:noVBand="1"/>
      </w:tblPr>
      <w:tblGrid>
        <w:gridCol w:w="1518"/>
        <w:gridCol w:w="1600"/>
        <w:gridCol w:w="1226"/>
        <w:gridCol w:w="1343"/>
        <w:gridCol w:w="1743"/>
        <w:gridCol w:w="1930"/>
      </w:tblGrid>
      <w:tr>
        <w:trPr>
          <w:tblHeader/>
        </w:trPr>
        <w:tc>
          <w:tcPr>
            <w:tcW w:w="1518" w:type="dxa"/>
            <w:shd w:val="clear" w:color="auto" w:fill="F2F2F2"/>
          </w:tcPr>
          <w:p>
            <w:pPr/>
            <w:r>
              <w:t xml:space="preserve">Fuel</w:t>
            </w:r>
          </w:p>
        </w:tc>
        <w:tc>
          <w:tcPr>
            <w:tcW w:w="1600" w:type="dxa"/>
            <w:shd w:val="clear" w:color="auto" w:fill="F2F2F2"/>
          </w:tcPr>
          <w:p>
            <w:pPr/>
            <w:r>
              <w:t xml:space="preserve">SUMMARY (L)</w:t>
            </w:r>
          </w:p>
        </w:tc>
        <w:tc>
          <w:tcPr>
            <w:tcW w:w="1226" w:type="dxa"/>
            <w:shd w:val="clear" w:color="auto" w:fill="F2F2F2"/>
          </w:tcPr>
          <w:p>
            <w:pPr/>
            <w:r>
              <w:t xml:space="preserve">FDC (L)</w:t>
            </w:r>
          </w:p>
        </w:tc>
        <w:tc>
          <w:tcPr>
            <w:tcW w:w="1343" w:type="dxa"/>
            <w:shd w:val="clear" w:color="auto" w:fill="F2F2F2"/>
          </w:tcPr>
          <w:p>
            <w:pPr/>
            <w:r>
              <w:t xml:space="preserve">Octane (L)</w:t>
            </w:r>
          </w:p>
        </w:tc>
        <w:tc>
          <w:tcPr>
            <w:tcW w:w="1743" w:type="dxa"/>
            <w:shd w:val="clear" w:color="auto" w:fill="F2F2F2"/>
          </w:tcPr>
          <w:p>
            <w:pPr/>
            <w:r>
              <w:t xml:space="preserve">Octane capture, all days</w:t>
            </w:r>
          </w:p>
        </w:tc>
        <w:tc>
          <w:tcPr>
            <w:tcW w:w="1930" w:type="dxa"/>
            <w:shd w:val="clear" w:color="auto" w:fill="F2F2F2"/>
          </w:tcPr>
          <w:p>
            <w:pPr/>
            <w:r>
              <w:t xml:space="preserve">Octane capture, excl. 23 Sep</w:t>
            </w:r>
          </w:p>
        </w:tc>
      </w:tr>
      <w:tr>
        <w:tc>
          <w:tcPr>
            <w:tcW w:w="1518" w:type="dxa"/>
          </w:tcPr>
          <w:p>
            <w:pPr/>
            <w:r>
              <w:t xml:space="preserve">Diesel (AGO)</w:t>
            </w:r>
          </w:p>
        </w:tc>
        <w:tc>
          <w:tcPr>
            <w:tcW w:w="1600" w:type="dxa"/>
          </w:tcPr>
          <w:p>
            <w:pPr/>
            <w:r>
              <w:t xml:space="preserve">663,510.0</w:t>
            </w:r>
          </w:p>
        </w:tc>
        <w:tc>
          <w:tcPr>
            <w:tcW w:w="1226" w:type="dxa"/>
          </w:tcPr>
          <w:p>
            <w:pPr/>
            <w:r>
              <w:t xml:space="preserve">655,415.9</w:t>
            </w:r>
          </w:p>
        </w:tc>
        <w:tc>
          <w:tcPr>
            <w:tcW w:w="1343" w:type="dxa"/>
          </w:tcPr>
          <w:p>
            <w:pPr/>
            <w:r>
              <w:t xml:space="preserve">637,281.8</w:t>
            </w:r>
          </w:p>
        </w:tc>
        <w:tc>
          <w:tcPr>
            <w:tcW w:w="1743" w:type="dxa"/>
          </w:tcPr>
          <w:p>
            <w:pPr/>
            <w:r>
              <w:t xml:space="preserve">97.2%</w:t>
            </w:r>
          </w:p>
        </w:tc>
        <w:tc>
          <w:tcPr>
            <w:tcW w:w="1930" w:type="dxa"/>
          </w:tcPr>
          <w:p>
            <w:pPr/>
            <w:r>
              <w:t xml:space="preserve">99.7%</w:t>
            </w:r>
          </w:p>
        </w:tc>
      </w:tr>
      <w:tr>
        <w:tc>
          <w:tcPr>
            <w:tcW w:w="1518" w:type="dxa"/>
          </w:tcPr>
          <w:p>
            <w:pPr/>
            <w:r>
              <w:t xml:space="preserve">Petrol (PMS)</w:t>
            </w:r>
          </w:p>
        </w:tc>
        <w:tc>
          <w:tcPr>
            <w:tcW w:w="1600" w:type="dxa"/>
          </w:tcPr>
          <w:p>
            <w:pPr/>
            <w:r>
              <w:t xml:space="preserve">38,026.0</w:t>
            </w:r>
          </w:p>
        </w:tc>
        <w:tc>
          <w:tcPr>
            <w:tcW w:w="1226" w:type="dxa"/>
          </w:tcPr>
          <w:p>
            <w:pPr/>
            <w:r>
              <w:t xml:space="preserve">33,597.4</w:t>
            </w:r>
          </w:p>
        </w:tc>
        <w:tc>
          <w:tcPr>
            <w:tcW w:w="1343" w:type="dxa"/>
          </w:tcPr>
          <w:p>
            <w:pPr/>
            <w:r>
              <w:t xml:space="preserve">32,990.8</w:t>
            </w:r>
          </w:p>
        </w:tc>
        <w:tc>
          <w:tcPr>
            <w:tcW w:w="1743" w:type="dxa"/>
          </w:tcPr>
          <w:p>
            <w:pPr/>
            <w:r>
              <w:t xml:space="preserve">98.2%</w:t>
            </w:r>
          </w:p>
        </w:tc>
        <w:tc>
          <w:tcPr>
            <w:tcW w:w="1930" w:type="dxa"/>
          </w:tcPr>
          <w:p>
            <w:pPr/>
            <w:r>
              <w:t xml:space="preserve">99.6%</w:t>
            </w:r>
          </w:p>
        </w:tc>
      </w:tr>
    </w:tbl>
    <w:p>
      <w:pPr/>
      <w:r>
        <w:t xml:space="preserve">Octane and the FDC matched to the litre on 31 of 35 days. The exception windows, with the FDC as reference:</w:t>
      </w:r>
    </w:p>
    <w:tbl>
      <w:tblPr>
        <w:tblStyle w:val="TableGrid"/>
        <w:tblW w:w="0" w:type="auto"/>
        <w:tblLayout w:type="fixed"/>
        <w:tblLook w:val="04A0" w:firstRow="1" w:lastRow="0" w:firstColumn="0" w:lastColumn="0" w:noHBand="0" w:noVBand="1"/>
      </w:tblPr>
      <w:tblGrid>
        <w:gridCol w:w="1633"/>
        <w:gridCol w:w="909"/>
        <w:gridCol w:w="1226"/>
        <w:gridCol w:w="1343"/>
        <w:gridCol w:w="1226"/>
        <w:gridCol w:w="3023"/>
      </w:tblGrid>
      <w:tr>
        <w:trPr>
          <w:tblHeader/>
        </w:trPr>
        <w:tc>
          <w:tcPr>
            <w:tcW w:w="1633" w:type="dxa"/>
            <w:shd w:val="clear" w:color="auto" w:fill="F2F2F2"/>
          </w:tcPr>
          <w:p>
            <w:pPr/>
            <w:r>
              <w:t xml:space="preserve">Date / window</w:t>
            </w:r>
          </w:p>
        </w:tc>
        <w:tc>
          <w:tcPr>
            <w:tcW w:w="909" w:type="dxa"/>
            <w:shd w:val="clear" w:color="auto" w:fill="F2F2F2"/>
          </w:tcPr>
          <w:p>
            <w:pPr/>
            <w:r>
              <w:t xml:space="preserve">Fuel</w:t>
            </w:r>
          </w:p>
        </w:tc>
        <w:tc>
          <w:tcPr>
            <w:tcW w:w="1226" w:type="dxa"/>
            <w:shd w:val="clear" w:color="auto" w:fill="F2F2F2"/>
          </w:tcPr>
          <w:p>
            <w:pPr/>
            <w:r>
              <w:t xml:space="preserve">FDC (L)</w:t>
            </w:r>
          </w:p>
        </w:tc>
        <w:tc>
          <w:tcPr>
            <w:tcW w:w="1343" w:type="dxa"/>
            <w:shd w:val="clear" w:color="auto" w:fill="F2F2F2"/>
          </w:tcPr>
          <w:p>
            <w:pPr/>
            <w:r>
              <w:t xml:space="preserve">Octane (L)</w:t>
            </w:r>
          </w:p>
        </w:tc>
        <w:tc>
          <w:tcPr>
            <w:tcW w:w="1226" w:type="dxa"/>
            <w:shd w:val="clear" w:color="auto" w:fill="F2F2F2"/>
          </w:tcPr>
          <w:p>
            <w:pPr/>
            <w:r>
              <w:t xml:space="preserve">FDC minus Octane (L)</w:t>
            </w:r>
          </w:p>
        </w:tc>
        <w:tc>
          <w:tcPr>
            <w:tcW w:w="3023" w:type="dxa"/>
            <w:shd w:val="clear" w:color="auto" w:fill="F2F2F2"/>
          </w:tcPr>
          <w:p>
            <w:pPr/>
            <w:r>
              <w:t xml:space="preserve">Note</w:t>
            </w:r>
          </w:p>
        </w:tc>
      </w:tr>
      <w:tr>
        <w:tc>
          <w:tcPr>
            <w:tcW w:w="1633" w:type="dxa"/>
          </w:tcPr>
          <w:p>
            <w:pPr/>
            <w:r>
              <w:t xml:space="preserve">23 Sep, full day</w:t>
            </w:r>
          </w:p>
        </w:tc>
        <w:tc>
          <w:tcPr>
            <w:tcW w:w="909" w:type="dxa"/>
          </w:tcPr>
          <w:p>
            <w:pPr/>
            <w:r>
              <w:t xml:space="preserve">Diesel</w:t>
            </w:r>
          </w:p>
        </w:tc>
        <w:tc>
          <w:tcPr>
            <w:tcW w:w="1226" w:type="dxa"/>
          </w:tcPr>
          <w:p>
            <w:pPr/>
            <w:r>
              <w:t xml:space="preserve">28,151.68</w:t>
            </w:r>
          </w:p>
        </w:tc>
        <w:tc>
          <w:tcPr>
            <w:tcW w:w="1343" w:type="dxa"/>
          </w:tcPr>
          <w:p>
            <w:pPr/>
            <w:r>
              <w:t xml:space="preserve">11,790.08</w:t>
            </w:r>
          </w:p>
        </w:tc>
        <w:tc>
          <w:tcPr>
            <w:tcW w:w="1226" w:type="dxa"/>
          </w:tcPr>
          <w:p>
            <w:pPr/>
            <w:r>
              <w:t xml:space="preserve">16,361.60</w:t>
            </w:r>
          </w:p>
        </w:tc>
        <w:tc>
          <w:tcPr>
            <w:tcW w:w="3023" w:type="dxa"/>
          </w:tcPr>
          <w:p>
            <w:pPr/>
            <w:r>
              <w:t xml:space="preserve">Start-up day; Octane saw about 42% of the day while data was still arriving through the FDC's upload queue (to be confirmed)</w:t>
            </w:r>
          </w:p>
        </w:tc>
      </w:tr>
      <w:tr>
        <w:tc>
          <w:tcPr>
            <w:tcW w:w="1633" w:type="dxa"/>
          </w:tcPr>
          <w:p>
            <w:pPr/>
            <w:r>
              <w:t xml:space="preserve">23 Sep, full day</w:t>
            </w:r>
          </w:p>
        </w:tc>
        <w:tc>
          <w:tcPr>
            <w:tcW w:w="909" w:type="dxa"/>
          </w:tcPr>
          <w:p>
            <w:pPr/>
            <w:r>
              <w:t xml:space="preserve">Petrol</w:t>
            </w:r>
          </w:p>
        </w:tc>
        <w:tc>
          <w:tcPr>
            <w:tcW w:w="1226" w:type="dxa"/>
          </w:tcPr>
          <w:p>
            <w:pPr/>
            <w:r>
              <w:t xml:space="preserve">1,005.31</w:t>
            </w:r>
          </w:p>
        </w:tc>
        <w:tc>
          <w:tcPr>
            <w:tcW w:w="1343" w:type="dxa"/>
          </w:tcPr>
          <w:p>
            <w:pPr/>
            <w:r>
              <w:t xml:space="preserve">522.94</w:t>
            </w:r>
          </w:p>
        </w:tc>
        <w:tc>
          <w:tcPr>
            <w:tcW w:w="1226" w:type="dxa"/>
          </w:tcPr>
          <w:p>
            <w:pPr/>
            <w:r>
              <w:t xml:space="preserve">482.37</w:t>
            </w:r>
          </w:p>
        </w:tc>
        <w:tc>
          <w:tcPr>
            <w:tcW w:w="3023" w:type="dxa"/>
          </w:tcPr>
          <w:p>
            <w:pPr/>
            <w:r>
              <w:t xml:space="preserve">Same cause</w:t>
            </w:r>
          </w:p>
        </w:tc>
      </w:tr>
      <w:tr>
        <w:tc>
          <w:tcPr>
            <w:tcW w:w="1633" w:type="dxa"/>
          </w:tcPr>
          <w:p>
            <w:pPr/>
            <w:r>
              <w:t xml:space="preserve">30 Sep 16:45 to 1 Oct 07:30</w:t>
            </w:r>
          </w:p>
        </w:tc>
        <w:tc>
          <w:tcPr>
            <w:tcW w:w="909" w:type="dxa"/>
          </w:tcPr>
          <w:p>
            <w:pPr/>
            <w:r>
              <w:t xml:space="preserve">Diesel</w:t>
            </w:r>
          </w:p>
        </w:tc>
        <w:tc>
          <w:tcPr>
            <w:tcW w:w="1226" w:type="dxa"/>
          </w:tcPr>
          <w:p>
            <w:pPr/>
            <w:r>
              <w:t xml:space="preserve">25,816.62</w:t>
            </w:r>
          </w:p>
        </w:tc>
        <w:tc>
          <w:tcPr>
            <w:tcW w:w="1343" w:type="dxa"/>
          </w:tcPr>
          <w:p>
            <w:pPr/>
            <w:r>
              <w:t xml:space="preserve">24,044.09</w:t>
            </w:r>
          </w:p>
        </w:tc>
        <w:tc>
          <w:tcPr>
            <w:tcW w:w="1226" w:type="dxa"/>
          </w:tcPr>
          <w:p>
            <w:pPr/>
            <w:r>
              <w:t xml:space="preserve">1,772.53</w:t>
            </w:r>
          </w:p>
        </w:tc>
        <w:tc>
          <w:tcPr>
            <w:tcW w:w="3023" w:type="dxa"/>
          </w:tcPr>
          <w:p>
            <w:pPr/>
            <w:r>
              <w:t xml:space="preserve">Under investigation, see Open item</w:t>
            </w:r>
          </w:p>
        </w:tc>
      </w:tr>
      <w:tr>
        <w:tc>
          <w:tcPr>
            <w:tcW w:w="1633" w:type="dxa"/>
          </w:tcPr>
          <w:p>
            <w:pPr/>
            <w:r>
              <w:t xml:space="preserve">30 Sep 16:45 to 1 Oct 07:30</w:t>
            </w:r>
          </w:p>
        </w:tc>
        <w:tc>
          <w:tcPr>
            <w:tcW w:w="909" w:type="dxa"/>
          </w:tcPr>
          <w:p>
            <w:pPr/>
            <w:r>
              <w:t xml:space="preserve">Petrol</w:t>
            </w:r>
          </w:p>
        </w:tc>
        <w:tc>
          <w:tcPr>
            <w:tcW w:w="1226" w:type="dxa"/>
          </w:tcPr>
          <w:p>
            <w:pPr/>
            <w:r>
              <w:t xml:space="preserve">1,522.54</w:t>
            </w:r>
          </w:p>
        </w:tc>
        <w:tc>
          <w:tcPr>
            <w:tcW w:w="1343" w:type="dxa"/>
          </w:tcPr>
          <w:p>
            <w:pPr/>
            <w:r>
              <w:t xml:space="preserve">1,403.82</w:t>
            </w:r>
          </w:p>
        </w:tc>
        <w:tc>
          <w:tcPr>
            <w:tcW w:w="1226" w:type="dxa"/>
          </w:tcPr>
          <w:p>
            <w:pPr/>
            <w:r>
              <w:t xml:space="preserve">118.72</w:t>
            </w:r>
          </w:p>
        </w:tc>
        <w:tc>
          <w:tcPr>
            <w:tcW w:w="3023" w:type="dxa"/>
          </w:tcPr>
          <w:p>
            <w:pPr/>
            <w:r>
              <w:t xml:space="preserve">Same window</w:t>
            </w:r>
          </w:p>
        </w:tc>
      </w:tr>
      <w:tr>
        <w:tc>
          <w:tcPr>
            <w:tcW w:w="1633" w:type="dxa"/>
          </w:tcPr>
          <w:p>
            <w:pPr/>
            <w:r>
              <w:t xml:space="preserve">3 Oct</w:t>
            </w:r>
          </w:p>
        </w:tc>
        <w:tc>
          <w:tcPr>
            <w:tcW w:w="909" w:type="dxa"/>
          </w:tcPr>
          <w:p>
            <w:pPr/>
            <w:r>
              <w:t xml:space="preserve">Petrol</w:t>
            </w:r>
          </w:p>
        </w:tc>
        <w:tc>
          <w:tcPr>
            <w:tcW w:w="1226" w:type="dxa"/>
          </w:tcPr>
          <w:p>
            <w:pPr/>
            <w:r>
              <w:t xml:space="preserve">947.08</w:t>
            </w:r>
          </w:p>
        </w:tc>
        <w:tc>
          <w:tcPr>
            <w:tcW w:w="1343" w:type="dxa"/>
          </w:tcPr>
          <w:p>
            <w:pPr/>
            <w:r>
              <w:t xml:space="preserve">941.08</w:t>
            </w:r>
          </w:p>
        </w:tc>
        <w:tc>
          <w:tcPr>
            <w:tcW w:w="1226" w:type="dxa"/>
          </w:tcPr>
          <w:p>
            <w:pPr/>
            <w:r>
              <w:t xml:space="preserve">6.00</w:t>
            </w:r>
          </w:p>
        </w:tc>
        <w:tc>
          <w:tcPr>
            <w:tcW w:w="3023" w:type="dxa"/>
          </w:tcPr>
          <w:p>
            <w:pPr/>
            <w:r>
              <w:t xml:space="preserve">Single small difference</w:t>
            </w:r>
          </w:p>
        </w:tc>
      </w:tr>
      <w:tr>
        <w:tc>
          <w:tcPr>
            <w:tcW w:w="1633" w:type="dxa"/>
          </w:tcPr>
          <w:p>
            <w:pPr/>
            <w:r>
              <w:t xml:space="preserve">30 Sep 07:30 to 16:45</w:t>
            </w:r>
          </w:p>
        </w:tc>
        <w:tc>
          <w:tcPr>
            <w:tcW w:w="909" w:type="dxa"/>
          </w:tcPr>
          <w:p>
            <w:pPr/>
            <w:r>
              <w:t xml:space="preserve">Petrol</w:t>
            </w:r>
          </w:p>
        </w:tc>
        <w:tc>
          <w:tcPr>
            <w:tcW w:w="1226" w:type="dxa"/>
          </w:tcPr>
          <w:p>
            <w:pPr/>
            <w:r>
              <w:t xml:space="preserve">517.88</w:t>
            </w:r>
          </w:p>
        </w:tc>
        <w:tc>
          <w:tcPr>
            <w:tcW w:w="1343" w:type="dxa"/>
          </w:tcPr>
          <w:p>
            <w:pPr/>
            <w:r>
              <w:t xml:space="preserve">518.36</w:t>
            </w:r>
          </w:p>
        </w:tc>
        <w:tc>
          <w:tcPr>
            <w:tcW w:w="1226" w:type="dxa"/>
          </w:tcPr>
          <w:p>
            <w:pPr/>
            <w:r>
              <w:t xml:space="preserve">-0.48</w:t>
            </w:r>
          </w:p>
        </w:tc>
        <w:tc>
          <w:tcPr>
            <w:tcW w:w="3023" w:type="dxa"/>
          </w:tcPr>
          <w:p>
            <w:pPr/>
            <w:r>
              <w:t xml:space="preserve">Octane marginally higher; rounding level</w:t>
            </w:r>
          </w:p>
        </w:tc>
      </w:tr>
    </w:tbl>
    <w:p>
      <w:pPr>
        <w:pStyle w:val="Heading3"/>
      </w:pPr>
      <w:r>
        <w:t xml:space="preserve">Cause of the differences</w:t>
      </w:r>
    </w:p>
    <w:p>
      <w:pPr/>
      <w:r>
        <w:t xml:space="preserve">In every exception window Octane is missing transactions the FDC holds. Where Octane has the data, it equals the FDC exactly. The differences are therefore delivery gaps, not calculation differences.</w:t>
      </w:r>
    </w:p>
    <w:p>
      <w:pPr/>
      <w:r>
        <w:t xml:space="preserve">The FDC sends transactions at a fixed rate of about one file every 3 minutes, so data reaches Octane later than it is recorded and can queue for hours. A faster or batched upload from the FDC would close the delay, and Octane can then reconcile to a 100% match. Once the 30 Sep to 1 Oct window is backfilled, Octane and the FDC agree on all 35 days except the start-up day and a 6 L petrol difference on 3 Oct, which are being confirmed.</w:t>
      </w:r>
    </w:p>
    <w:p>
      <w:pPr>
        <w:pStyle w:val="Heading2"/>
      </w:pPr>
      <w:r>
        <w:t xml:space="preserve">Reading the variance</w:t>
      </w:r>
    </w:p>
    <w:p>
      <w:pPr/>
      <w:r>
        <w:t xml:space="preserve">The VARIANCE columns in the test sheet are SUMMARY minus Octane. They therefore combine two different questions: how well Octane captured the FDC, and how closely the station's summary agrees with the FDC.</w:t>
      </w:r>
    </w:p>
    <w:p>
      <w:pPr/>
      <w:r>
        <w:t xml:space="preserve">On the first question, the sheet's diesel variance total of 26,228 L includes 16,755 L from 23 Sep alone. The petrol total of 5,035 L includes 575 L from the same day.</w:t>
      </w:r>
    </w:p>
    <w:p>
      <w:pPr/>
      <w:r>
        <w:t xml:space="preserve">On the second question, the SUMMARY figure is higher than the FDC on 28 of 35 days for diesel (+8,094 L, +1.2% in total). For petrol it is higher on 33 of 35 days (+4,429 L, +13.2% in total). A gap that runs in one direction almost every day points to a systematic cause in how the summary is compiled, not random capture loss. It could, for example, include dispensing the FDC does not see.</w:t>
      </w:r>
    </w:p>
    <w:p>
      <w:pPr/>
      <w:r>
        <w:t xml:space="preserve">7 Oct is an outlier: the petrol summary reads 1,713 L against 927.74 L on the FDC. That may be a data-entry error and should be checked against the source record.</w:t>
      </w:r>
    </w:p>
    <w:p>
      <w:pPr/>
      <w:r>
        <w:t xml:space="preserve">[Placeholder: state how the SUMMARY figure is produced (pump meter readings, current POS or manual entry) so the cause of the petrol gap can be stated, not suggested.]</w:t>
      </w:r>
    </w:p>
    <w:p>
      <w:pPr>
        <w:pStyle w:val="Heading2"/>
      </w:pPr>
      <w:r>
        <w:t xml:space="preserve">Constraints from the FDC and its documentation</w:t>
      </w:r>
    </w:p>
    <w:p>
      <w:pPr/>
      <w:r>
        <w:t xml:space="preserve">The FDC offers no documented real-time interface. Octane's live feed exists because the device was reverse-engineered, not because the vendor supplied an integration path. Each item below can be reproduced from the device.</w:t>
      </w:r>
    </w:p>
    <w:tbl>
      <w:tblPr>
        <w:tblStyle w:val="TableGrid"/>
        <w:tblW w:w="0" w:type="auto"/>
        <w:tblLayout w:type="fixed"/>
        <w:tblLook w:val="04A0" w:firstRow="1" w:lastRow="0" w:firstColumn="0" w:lastColumn="0" w:noHBand="0" w:noVBand="1"/>
      </w:tblPr>
      <w:tblGrid>
        <w:gridCol w:w="2411"/>
        <w:gridCol w:w="4159"/>
        <w:gridCol w:w="2790"/>
      </w:tblGrid>
      <w:tr>
        <w:trPr>
          <w:tblHeader/>
        </w:trPr>
        <w:tc>
          <w:tcPr>
            <w:tcW w:w="2411" w:type="dxa"/>
            <w:shd w:val="clear" w:color="auto" w:fill="F2F2F2"/>
          </w:tcPr>
          <w:p>
            <w:pPr/>
            <w:r>
              <w:t xml:space="preserve">Constraint</w:t>
            </w:r>
          </w:p>
        </w:tc>
        <w:tc>
          <w:tcPr>
            <w:tcW w:w="4159" w:type="dxa"/>
            <w:shd w:val="clear" w:color="auto" w:fill="F2F2F2"/>
          </w:tcPr>
          <w:p>
            <w:pPr/>
            <w:r>
              <w:t xml:space="preserve">What was found</w:t>
            </w:r>
          </w:p>
        </w:tc>
        <w:tc>
          <w:tcPr>
            <w:tcW w:w="2790" w:type="dxa"/>
            <w:shd w:val="clear" w:color="auto" w:fill="F2F2F2"/>
          </w:tcPr>
          <w:p>
            <w:pPr/>
            <w:r>
              <w:t xml:space="preserve">Effect on the POC</w:t>
            </w:r>
          </w:p>
        </w:tc>
      </w:tr>
      <w:tr>
        <w:tc>
          <w:tcPr>
            <w:tcW w:w="2411" w:type="dxa"/>
          </w:tcPr>
          <w:p>
            <w:pPr/>
            <w:r>
              <w:t xml:space="preserve">Upload cadence</w:t>
            </w:r>
          </w:p>
        </w:tc>
        <w:tc>
          <w:tcPr>
            <w:tcW w:w="4159" w:type="dxa"/>
          </w:tcPr>
          <w:p>
            <w:pPr/>
            <w:r>
              <w:t xml:space="preserve">The FDC pushes transaction XML files by FTP at one file about every 3 minutes. The interval is fixed in firmware and cannot be changed in the web UI.</w:t>
            </w:r>
          </w:p>
        </w:tc>
        <w:tc>
          <w:tcPr>
            <w:tcW w:w="2790" w:type="dxa"/>
          </w:tcPr>
          <w:p>
            <w:pPr/>
            <w:r>
              <w:t xml:space="preserve">A backlog of 25,000+ files built up, so current transactions sat behind months of old ones.</w:t>
            </w:r>
          </w:p>
        </w:tc>
      </w:tr>
      <w:tr>
        <w:tc>
          <w:tcPr>
            <w:tcW w:w="2411" w:type="dxa"/>
          </w:tcPr>
          <w:p>
            <w:pPr/>
            <w:r>
              <w:t xml:space="preserve">Backlog clearance</w:t>
            </w:r>
          </w:p>
        </w:tc>
        <w:tc>
          <w:tcPr>
            <w:tcW w:w="4159" w:type="dxa"/>
          </w:tcPr>
          <w:p>
            <w:pPr/>
            <w:r>
              <w:t xml:space="preserve">The delete function is at </w:t>
            </w:r>
            <w:r>
              <w:rPr>
                <w:rStyle w:val="CodeChar"/>
              </w:rPr>
              <w:t xml:space="preserve">tls_lst.htm?open=2</w:t>
            </w:r>
            <w:r>
              <w:t xml:space="preserve"> and needs a separate numeric PIN beyond the web login. The PIN was not supplied.</w:t>
            </w:r>
          </w:p>
        </w:tc>
        <w:tc>
          <w:tcPr>
            <w:tcW w:w="2790" w:type="dxa"/>
          </w:tcPr>
          <w:p>
            <w:pPr/>
            <w:r>
              <w:t xml:space="preserve">The backlog could not be cleared. Transactions were exported to Excel as a workaround.</w:t>
            </w:r>
          </w:p>
        </w:tc>
      </w:tr>
      <w:tr>
        <w:tc>
          <w:tcPr>
            <w:tcW w:w="2411" w:type="dxa"/>
          </w:tcPr>
          <w:p>
            <w:pPr/>
            <w:r>
              <w:t xml:space="preserve">Documentation</w:t>
            </w:r>
          </w:p>
        </w:tc>
        <w:tc>
          <w:tcPr>
            <w:tcW w:w="4159" w:type="dxa"/>
          </w:tcPr>
          <w:p>
            <w:pPr/>
            <w:r>
              <w:t xml:space="preserve">No usable technical documentation was available. The endpoint above was found by decompressing the device's gzipped JavaScript files.</w:t>
            </w:r>
          </w:p>
        </w:tc>
        <w:tc>
          <w:tcPr>
            <w:tcW w:w="2790" w:type="dxa"/>
          </w:tcPr>
          <w:p>
            <w:pPr/>
            <w:r>
              <w:t xml:space="preserve">Time spent on discovery that documentation would have removed.</w:t>
            </w:r>
          </w:p>
        </w:tc>
      </w:tr>
      <w:tr>
        <w:tc>
          <w:tcPr>
            <w:tcW w:w="2411" w:type="dxa"/>
          </w:tcPr>
          <w:p>
            <w:pPr/>
            <w:r>
              <w:t xml:space="preserve">Real-time data</w:t>
            </w:r>
          </w:p>
        </w:tc>
        <w:tc>
          <w:tcPr>
            <w:tcW w:w="4159" w:type="dxa"/>
          </w:tcPr>
          <w:p>
            <w:pPr/>
            <w:r>
              <w:t xml:space="preserve">The FDC offers no documented way to receive transactions faster than its upload queue delivers them.</w:t>
            </w:r>
          </w:p>
        </w:tc>
        <w:tc>
          <w:tcPr>
            <w:tcW w:w="2790" w:type="dxa"/>
          </w:tcPr>
          <w:p>
            <w:pPr/>
            <w:r>
              <w:t xml:space="preserve">Real-time visibility depends on the upload rate. A supported faster path is needed.</w:t>
            </w:r>
          </w:p>
        </w:tc>
      </w:tr>
      <w:tr>
        <w:tc>
          <w:tcPr>
            <w:tcW w:w="2411" w:type="dxa"/>
          </w:tcPr>
          <w:p>
            <w:pPr/>
            <w:r>
              <w:t xml:space="preserve">Transaction </w:t>
            </w:r>
            <w:r>
              <w:rPr>
                <w:rStyle w:val="CodeChar"/>
              </w:rPr>
              <w:t xml:space="preserve">id</w:t>
            </w:r>
            <w:r>
              <w:t xml:space="preserve"> field</w:t>
            </w:r>
          </w:p>
        </w:tc>
        <w:tc>
          <w:tcPr>
            <w:tcW w:w="4159" w:type="dxa"/>
          </w:tcPr>
          <w:p>
            <w:pPr/>
            <w:r>
              <w:t xml:space="preserve">The unique transaction key for de-duplication needs to be confirmed by ROHE.</w:t>
            </w:r>
          </w:p>
        </w:tc>
        <w:tc>
          <w:tcPr>
            <w:tcW w:w="2790" w:type="dxa"/>
          </w:tcPr>
          <w:p>
            <w:pPr/>
            <w:r>
              <w:t xml:space="preserve">Duplicate and gap detection depends on using the right key.</w:t>
            </w:r>
          </w:p>
        </w:tc>
      </w:tr>
      <w:tr>
        <w:tc>
          <w:tcPr>
            <w:tcW w:w="2411" w:type="dxa"/>
          </w:tcPr>
          <w:p>
            <w:pPr/>
            <w:r>
              <w:t xml:space="preserve">Status Report Server</w:t>
            </w:r>
          </w:p>
        </w:tc>
        <w:tc>
          <w:tcPr>
            <w:tcW w:w="4159" w:type="dxa"/>
          </w:tcPr>
          <w:p>
            <w:pPr/>
            <w:r>
              <w:t xml:space="preserve">The setting (port 5010) is off and its protocol is unexplained. The device retries each upload 5 to 7 times about 21 seconds apart.</w:t>
            </w:r>
          </w:p>
        </w:tc>
        <w:tc>
          <w:tcPr>
            <w:tcW w:w="2790" w:type="dxa"/>
          </w:tcPr>
          <w:p>
            <w:pPr/>
            <w:r>
              <w:t xml:space="preserve">Possible acknowledgement mechanism, unconfirmed. Slows the FTP path further.</w:t>
            </w:r>
          </w:p>
        </w:tc>
      </w:tr>
    </w:tbl>
    <w:p>
      <w:pPr/>
      <w:r>
        <w:t xml:space="preserve">[Placeholder: add dates and channels of each request made to ROHE for documentation, the delete PIN and the status protocol, and what was received. Attach any emails.]</w:t>
      </w:r>
    </w:p>
    <w:p>
      <w:pPr>
        <w:pStyle w:val="Heading2"/>
      </w:pPr>
      <w:r>
        <w:t xml:space="preserve">Open item: 30 Sep to 1 Oct evening gap</w:t>
      </w:r>
    </w:p>
    <w:p>
      <w:pPr/>
      <w:r>
        <w:t xml:space="preserve">Between 16:45 on 30 Sep and 07:30 on 1 Oct, Octane recorded 1,772.53 L less diesel and 118.72 L less petrol than the FDC. The cause is not yet confirmed. Likely candidates are an interruption in delivery of transactions to Octane or a backlog in the FDC's upload queue. This is being confirmed.</w:t>
      </w:r>
    </w:p>
    <w:p>
      <w:pPr/>
      <w:r>
        <w:t xml:space="preserve">If the FDC still holds these transactions, which should be confirmed first, the gap can be closed. Steps:</w:t>
      </w:r>
    </w:p>
    <w:p>
      <w:pPr>
        <w:pStyle w:val="ListParagraph"/>
        <w:numPr>
          <w:ilvl w:val="0"/>
          <w:numId w:val="3"/>
        </w:numPr>
      </w:pPr>
      <w:r>
        <w:t xml:space="preserve">Check the ingestion and server logs for 30 Sep 16:45 to 1 Oct 07:30 to find the interruption.</w:t>
      </w:r>
    </w:p>
    <w:p>
      <w:pPr>
        <w:pStyle w:val="ListParagraph"/>
        <w:numPr>
          <w:ilvl w:val="0"/>
          <w:numId w:val="3"/>
        </w:numPr>
      </w:pPr>
      <w:r>
        <w:t xml:space="preserve">Export the FDC transaction list for that window.</w:t>
      </w:r>
    </w:p>
    <w:p>
      <w:pPr>
        <w:pStyle w:val="ListParagraph"/>
        <w:numPr>
          <w:ilvl w:val="0"/>
          <w:numId w:val="3"/>
        </w:numPr>
      </w:pPr>
      <w:r>
        <w:t xml:space="preserve">Backfill the missing transactions into Octane, using </w:t>
      </w:r>
      <w:r>
        <w:rPr>
          <w:rStyle w:val="CodeChar"/>
        </w:rPr>
        <w:t xml:space="preserve">rdgNo</w:t>
      </w:r>
      <w:r>
        <w:t xml:space="preserve"> to avoid duplicates.</w:t>
      </w:r>
    </w:p>
    <w:p>
      <w:pPr>
        <w:pStyle w:val="ListParagraph"/>
        <w:numPr>
          <w:ilvl w:val="0"/>
          <w:numId w:val="3"/>
        </w:numPr>
      </w:pPr>
      <w:r>
        <w:t xml:space="preserve">Re-run the reconciliation and update the table above.</w:t>
      </w:r>
    </w:p>
    <w:p>
      <w:pPr/>
      <w:r>
        <w:t xml:space="preserve">[Placeholder: record the cause found, the date any ingestion fix went live, and the result of the backfill.]</w:t>
      </w:r>
    </w:p>
    <w:p>
      <w:pPr>
        <w:pStyle w:val="Heading2"/>
      </w:pPr>
      <w:r>
        <w:t xml:space="preserve">Recommendations and next steps</w:t>
      </w:r>
    </w:p>
    <w:p>
      <w:pPr/>
      <w:r>
        <w:t xml:space="preserve">The POC supports continuing with Octane. The remaining differences trace to the first-day start-up, one evening window still under review, and the station's own summary figures. The FDC's limits should be fixed or documented by ROHE before the integration is treated as production-ready.</w:t>
      </w:r>
    </w:p>
    <w:tbl>
      <w:tblPr>
        <w:tblStyle w:val="TableGrid"/>
        <w:tblW w:w="0" w:type="auto"/>
        <w:tblLayout w:type="fixed"/>
        <w:tblLook w:val="04A0" w:firstRow="1" w:lastRow="0" w:firstColumn="0" w:lastColumn="0" w:noHBand="0" w:noVBand="1"/>
      </w:tblPr>
      <w:tblGrid>
        <w:gridCol w:w="6828"/>
        <w:gridCol w:w="1269"/>
        <w:gridCol w:w="1261"/>
      </w:tblGrid>
      <w:tr>
        <w:trPr>
          <w:tblHeader/>
        </w:trPr>
        <w:tc>
          <w:tcPr>
            <w:tcW w:w="6828" w:type="dxa"/>
            <w:shd w:val="clear" w:color="auto" w:fill="F2F2F2"/>
          </w:tcPr>
          <w:p>
            <w:pPr/>
            <w:r>
              <w:t xml:space="preserve">Action</w:t>
            </w:r>
          </w:p>
        </w:tc>
        <w:tc>
          <w:tcPr>
            <w:tcW w:w="1269" w:type="dxa"/>
            <w:shd w:val="clear" w:color="auto" w:fill="F2F2F2"/>
          </w:tcPr>
          <w:p>
            <w:pPr/>
            <w:r>
              <w:t xml:space="preserve">Owner</w:t>
            </w:r>
          </w:p>
        </w:tc>
        <w:tc>
          <w:tcPr>
            <w:tcW w:w="1261" w:type="dxa"/>
            <w:shd w:val="clear" w:color="auto" w:fill="F2F2F2"/>
          </w:tcPr>
          <w:p>
            <w:pPr/>
            <w:r>
              <w:t xml:space="preserve">Status</w:t>
            </w:r>
          </w:p>
        </w:tc>
      </w:tr>
      <w:tr>
        <w:tc>
          <w:tcPr>
            <w:tcW w:w="6828" w:type="dxa"/>
          </w:tcPr>
          <w:p>
            <w:pPr/>
            <w:r>
              <w:t xml:space="preserve">Close the 30 Sep to 1 Oct gap by backfilling from the FDC export, then update the reconciliation</w:t>
            </w:r>
          </w:p>
        </w:tc>
        <w:tc>
          <w:tcPr>
            <w:tcW w:w="1269" w:type="dxa"/>
          </w:tcPr>
          <w:p>
            <w:pPr/>
            <w:r>
              <w:t xml:space="preserve">TBD</w:t>
            </w:r>
          </w:p>
        </w:tc>
        <w:tc>
          <w:tcPr>
            <w:tcW w:w="1261" w:type="dxa"/>
          </w:tcPr>
          <w:p>
            <w:pPr/>
            <w:r>
              <w:t xml:space="preserve">Open</w:t>
            </w:r>
          </w:p>
        </w:tc>
      </w:tr>
      <w:tr>
        <w:tc>
          <w:tcPr>
            <w:tcW w:w="6828" w:type="dxa"/>
          </w:tcPr>
          <w:p>
            <w:pPr/>
            <w:r>
              <w:t xml:space="preserve">Check an independent reference (physical pump meter reading) for several days to settle SUMMARY vs FDC, especially petrol and 7 Oct</w:t>
            </w:r>
          </w:p>
        </w:tc>
        <w:tc>
          <w:tcPr>
            <w:tcW w:w="1269" w:type="dxa"/>
          </w:tcPr>
          <w:p>
            <w:pPr/>
            <w:r>
              <w:t xml:space="preserve">TBD</w:t>
            </w:r>
          </w:p>
        </w:tc>
        <w:tc>
          <w:tcPr>
            <w:tcW w:w="1261" w:type="dxa"/>
          </w:tcPr>
          <w:p>
            <w:pPr/>
            <w:r>
              <w:t xml:space="preserve">Open</w:t>
            </w:r>
          </w:p>
        </w:tc>
      </w:tr>
      <w:tr>
        <w:tc>
          <w:tcPr>
            <w:tcW w:w="6828" w:type="dxa"/>
          </w:tcPr>
          <w:p>
            <w:pPr/>
            <w:r>
              <w:t xml:space="preserve">Confirm how SUMMARY is compiled and whether the older Gilbarco pumps are on the FDC</w:t>
            </w:r>
          </w:p>
        </w:tc>
        <w:tc>
          <w:tcPr>
            <w:tcW w:w="1269" w:type="dxa"/>
          </w:tcPr>
          <w:p>
            <w:pPr/>
            <w:r>
              <w:t xml:space="preserve">TBD</w:t>
            </w:r>
          </w:p>
        </w:tc>
        <w:tc>
          <w:tcPr>
            <w:tcW w:w="1261" w:type="dxa"/>
          </w:tcPr>
          <w:p>
            <w:pPr/>
            <w:r>
              <w:t xml:space="preserve">Open</w:t>
            </w:r>
          </w:p>
        </w:tc>
      </w:tr>
      <w:tr>
        <w:tc>
          <w:tcPr>
            <w:tcW w:w="6828" w:type="dxa"/>
          </w:tcPr>
          <w:p>
            <w:pPr/>
            <w:r>
              <w:t xml:space="preserve">Request from ROHE in writing: technical documentation, the delete PIN, the Status Report Server protocol, and a configurable upload interval</w:t>
            </w:r>
          </w:p>
        </w:tc>
        <w:tc>
          <w:tcPr>
            <w:tcW w:w="1269" w:type="dxa"/>
          </w:tcPr>
          <w:p>
            <w:pPr/>
            <w:r>
              <w:t xml:space="preserve">TBD</w:t>
            </w:r>
          </w:p>
        </w:tc>
        <w:tc>
          <w:tcPr>
            <w:tcW w:w="1261" w:type="dxa"/>
          </w:tcPr>
          <w:p>
            <w:pPr/>
            <w:r>
              <w:t xml:space="preserve">Open</w:t>
            </w:r>
          </w:p>
        </w:tc>
      </w:tr>
      <w:tr>
        <w:tc>
          <w:tcPr>
            <w:tcW w:w="6828" w:type="dxa"/>
          </w:tcPr>
          <w:p>
            <w:pPr/>
            <w:r>
              <w:t xml:space="preserve">Plan with ROHE's technical team how Octane connects to the FDC upload endpoint at a higher rate</w:t>
            </w:r>
          </w:p>
        </w:tc>
        <w:tc>
          <w:tcPr>
            <w:tcW w:w="1269" w:type="dxa"/>
          </w:tcPr>
          <w:p>
            <w:pPr/>
            <w:r>
              <w:t xml:space="preserve">TBD</w:t>
            </w:r>
          </w:p>
        </w:tc>
        <w:tc>
          <w:tcPr>
            <w:tcW w:w="1261" w:type="dxa"/>
          </w:tcPr>
          <w:p>
            <w:pPr/>
            <w:r>
              <w:t xml:space="preserve">Open</w:t>
            </w:r>
          </w:p>
        </w:tc>
      </w:tr>
      <w:tr>
        <w:tc>
          <w:tcPr>
            <w:tcW w:w="6828" w:type="dxa"/>
          </w:tcPr>
          <w:p>
            <w:pPr/>
            <w:r>
              <w:t xml:space="preserve">Approve eTIMS go-live and obtain Automan ATG documentation</w:t>
            </w:r>
          </w:p>
        </w:tc>
        <w:tc>
          <w:tcPr>
            <w:tcW w:w="1269" w:type="dxa"/>
          </w:tcPr>
          <w:p>
            <w:pPr/>
            <w:r>
              <w:t xml:space="preserve">TBD</w:t>
            </w:r>
          </w:p>
        </w:tc>
        <w:tc>
          <w:tcPr>
            <w:tcW w:w="1261" w:type="dxa"/>
          </w:tcPr>
          <w:p>
            <w:pPr/>
            <w:r>
              <w:t xml:space="preserve">Open</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Petrocity Bonje POC Findings Octane Orbit and ROHE FDC Integration</dc:title>
  <dc:description>Claude Docs node/74e3dbbe-f18b@22 docx-w7</dc:description>
  <cp:revision>22</cp:revision>
</cp:coreProperties>
</file>