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C2730"/>
          <w:sz w:val="58"/>
        </w:rPr>
        <w:t>FINANCIAL VISIBILITY</w:t>
        <w:br/>
        <w:t>FOR COMPLEX BUSINESS GROUPS</w:t>
      </w:r>
    </w:p>
    <w:p>
      <w:pPr>
        <w:spacing w:before="160"/>
      </w:pPr>
      <w:r>
        <w:rPr>
          <w:color w:val="A97F2B"/>
          <w:sz w:val="28"/>
        </w:rPr>
        <w:t>A concept note for family offices, investment holding companies and diversified business groups</w:t>
      </w:r>
    </w:p>
    <w:p>
      <w:pPr>
        <w:spacing w:before="560"/>
        <w:ind w:left="144"/>
      </w:pPr>
      <w:r>
        <w:rPr>
          <w:b/>
          <w:color w:val="A97F2B"/>
          <w:sz w:val="20"/>
        </w:rPr>
        <w:t>THE CENTRAL IDEA</w:t>
      </w:r>
    </w:p>
    <w:p>
      <w:pPr>
        <w:ind w:left="144" w:right="360"/>
      </w:pPr>
      <w:r>
        <w:rPr>
          <w:b/>
          <w:color w:val="1C2730"/>
          <w:sz w:val="32"/>
        </w:rPr>
        <w:t>One reliable, traceable view of the financial position of an entire business ecosystem—without requiring every underlying entity to replace the systems it already uses.</w:t>
      </w:r>
    </w:p>
    <w:p/>
    <w:tbl>
      <w:tblPr>
        <w:tblW w:type="auto" w:w="0"/>
        <w:tblLayout w:type="autofit"/>
        <w:tblLook w:firstColumn="1" w:firstRow="1" w:lastColumn="0" w:lastRow="0" w:noHBand="0" w:noVBand="1" w:val="04A0"/>
      </w:tblPr>
      <w:tblGrid>
        <w:gridCol w:w="9936"/>
      </w:tblGrid>
      <w:tr>
        <w:tc>
          <w:tcPr>
            <w:tcW w:type="dxa" w:w="9936"/>
            <w:shd w:fill="202830"/>
          </w:tcPr>
          <w:p>
            <w:pPr>
              <w:spacing w:before="180" w:after="180"/>
            </w:pPr>
            <w:r/>
            <w:r>
              <w:rPr>
                <w:b/>
                <w:color w:val="E8C36E"/>
                <w:sz w:val="20"/>
              </w:rPr>
              <w:t>PURPOSE OF THIS DOCUMENT</w:t>
              <w:br/>
            </w:r>
            <w:r>
              <w:rPr>
                <w:color w:val="FFFFFF"/>
                <w:sz w:val="20"/>
              </w:rPr>
              <w:t>To introduce a product concept, invite discussion with prospective design partners, and establish whether fragmented financial reporting and reconciliation represent a problem worth solving through a shared platform.</w:t>
            </w:r>
          </w:p>
        </w:tc>
      </w:tr>
    </w:tbl>
    <w:p>
      <w:r>
        <w:br w:type="page"/>
      </w:r>
    </w:p>
    <w:p>
      <w:pPr>
        <w:pStyle w:val="Heading1"/>
      </w:pPr>
      <w:r>
        <w:t>1. Executive summary</w:t>
      </w:r>
    </w:p>
    <w:p>
      <w:r>
        <w:t>Complex business groups often operate through multiple legal entities, operating companies, investment vehicles, property interests and bank accounts. Each entity may use its own accounting software, enterprise system, banking arrangements, spreadsheets and reporting routines. The group’s finance team or family office must then assemble the information into a coherent view for owners and decision-makers.</w:t>
      </w:r>
    </w:p>
    <w:p>
      <w:r>
        <w:t>The proposed platform is a financial visibility and control layer that connects these fragmented sources, standardises the information and provides a consolidated view of financial position, financial movement and unresolved exceptions. Its intended users include family principals, investors, business owners, group CFOs and finance teams.</w:t>
      </w:r>
    </w:p>
    <w:p>
      <w:r>
        <w:t>The platform is not initially intended to replace each entity’s accounting system, ERP, bank or investment custodian. Instead, it would work alongside existing systems, preserving source records and making consolidated figures traceable to the information from which they were derived.</w:t>
      </w:r>
    </w:p>
    <w:p>
      <w:r>
        <w:t>The concept is at an early validation stage. The immediate objective is to understand the reporting and control problems of prospective users, test the concept against real but appropriately protected data, and establish whether a pilot can produce measurable improvements in reporting speed, traceability and reconciliation.</w:t>
      </w:r>
    </w:p>
    <w:p>
      <w:pPr>
        <w:pStyle w:val="Heading2"/>
      </w:pPr>
      <w:r>
        <w:t>The proposition in brief</w:t>
      </w:r>
    </w:p>
    <w:p>
      <w:pPr>
        <w:pStyle w:val="ListBullet"/>
        <w:spacing w:after="60"/>
      </w:pPr>
      <w:r>
        <w:t>Consolidate financial reports from entities that use different systems and formats.</w:t>
      </w:r>
    </w:p>
    <w:p>
      <w:pPr>
        <w:pStyle w:val="ListBullet"/>
        <w:spacing w:after="60"/>
      </w:pPr>
      <w:r>
        <w:t>Show where money is held and how financial movements relate across entities, accounts and source records.</w:t>
      </w:r>
    </w:p>
    <w:p>
      <w:pPr>
        <w:pStyle w:val="ListBullet"/>
        <w:spacing w:after="60"/>
      </w:pPr>
      <w:r>
        <w:t>Identify unmatched transactions, conflicting balances, missing reports and stale information.</w:t>
      </w:r>
    </w:p>
    <w:p>
      <w:pPr>
        <w:pStyle w:val="ListBullet"/>
        <w:spacing w:after="60"/>
      </w:pPr>
      <w:r>
        <w:t>Give owners a clear group-level view while allowing authorised finance staff to investigate the underlying detail.</w:t>
      </w:r>
    </w:p>
    <w:p>
      <w:pPr>
        <w:pStyle w:val="ListBullet"/>
        <w:spacing w:after="60"/>
      </w:pPr>
      <w:r>
        <w:t>Preserve existing systems rather than forcing a wholesale technology replacement.</w:t>
      </w:r>
    </w:p>
    <w:p>
      <w:pPr>
        <w:pStyle w:val="Heading1"/>
      </w:pPr>
      <w:r>
        <w:t>2. The problem we are exploring</w:t>
      </w:r>
    </w:p>
    <w:p>
      <w:r>
        <w:t>The issue is not necessarily that financial data does not exist. In many groups, substantial amounts of data already sit in accounting systems, bank statements, investment reports and spreadsheets. The difficulty is bringing those different representations together in a timely, consistent and trustworthy way.</w:t>
      </w:r>
    </w:p>
    <w:p>
      <w:pPr>
        <w:pStyle w:val="Heading2"/>
      </w:pPr>
      <w:r>
        <w:t>Common symptoms</w:t>
      </w:r>
    </w:p>
    <w:p>
      <w:pPr>
        <w:pStyle w:val="ListBullet"/>
        <w:spacing w:after="60"/>
      </w:pPr>
      <w:r>
        <w:t>Monthly reporting depends on repeated requests for information from individual entities.</w:t>
      </w:r>
    </w:p>
    <w:p>
      <w:pPr>
        <w:pStyle w:val="ListBullet"/>
        <w:spacing w:after="60"/>
      </w:pPr>
      <w:r>
        <w:t>Reports arrive in different formats, account structures, currencies or reporting periods.</w:t>
      </w:r>
    </w:p>
    <w:p>
      <w:pPr>
        <w:pStyle w:val="ListBullet"/>
        <w:spacing w:after="60"/>
      </w:pPr>
      <w:r>
        <w:t>Finance staff manually clean, map and reconcile data before producing a consolidated pack.</w:t>
      </w:r>
    </w:p>
    <w:p>
      <w:pPr>
        <w:pStyle w:val="ListBullet"/>
        <w:spacing w:after="60"/>
      </w:pPr>
      <w:r>
        <w:t>A group-level number may be difficult to trace back to the entity or source record that produced it.</w:t>
      </w:r>
    </w:p>
    <w:p>
      <w:pPr>
        <w:pStyle w:val="ListBullet"/>
        <w:spacing w:after="60"/>
      </w:pPr>
      <w:r>
        <w:t>Transfers between related entities may be reported as separate inflows and outflows, obscuring the group’s true external cash movement.</w:t>
      </w:r>
    </w:p>
    <w:p>
      <w:pPr>
        <w:pStyle w:val="ListBullet"/>
        <w:spacing w:after="60"/>
      </w:pPr>
      <w:r>
        <w:t>Owners may receive reports after the information has become stale, with limited visibility of unresolved differences.</w:t>
      </w:r>
    </w:p>
    <w:p>
      <w:r>
        <w:t>These are hypotheses to test with prospective users, not assumptions that every family office or business group experiences all of them.</w:t>
      </w:r>
    </w:p>
    <w:p>
      <w:pPr>
        <w:pStyle w:val="Heading1"/>
      </w:pPr>
      <w:r>
        <w:t>3. The proposed solution</w:t>
      </w:r>
    </w:p>
    <w:p>
      <w:r>
        <w:t>The platform would sit above existing financial and operational systems. It would ingest approved data, validate it, map it into a common financial structure, reconcile related records and present the results through dashboards, reports and exception workflows.</w:t>
      </w:r>
    </w:p>
    <w:p>
      <w:pPr>
        <w:pStyle w:val="Heading2"/>
      </w:pPr>
      <w:r>
        <w:t>Three connected capabilities</w:t>
      </w:r>
    </w:p>
    <w:p>
      <w:pPr>
        <w:pStyle w:val="Heading3"/>
      </w:pPr>
      <w:r>
        <w:t>A. Financial visibility and consolidation</w:t>
      </w:r>
    </w:p>
    <w:p>
      <w:r>
        <w:t>Bring together entity-level financial reports to show the group’s financial position and performance. Users should be able to compare entities, reporting periods and key indicators, while seeing whether the underlying data is complete, current and approved.</w:t>
      </w:r>
    </w:p>
    <w:p>
      <w:pPr>
        <w:pStyle w:val="Heading3"/>
      </w:pPr>
      <w:r>
        <w:t>B. Transaction traceability</w:t>
      </w:r>
    </w:p>
    <w:p>
      <w:r>
        <w:t>Allow authorised users to follow a financial movement through the records available to the platform—for example, from a bank statement line to a ledger entry, settlement record or related transaction. The platform should distinguish a payment instruction, completed payment, settlement, bank movement and accounting entry rather than treating them as interchangeable.</w:t>
      </w:r>
    </w:p>
    <w:p>
      <w:pPr>
        <w:pStyle w:val="Heading3"/>
      </w:pPr>
      <w:r>
        <w:t>C. Reconciliation and exception management</w:t>
      </w:r>
    </w:p>
    <w:p>
      <w:r>
        <w:t>Identify records that agree, records that may match and records that remain unresolved. Examples include bank-to-ledger differences, mismatched intercompany balances, missing submissions, duplicate imports and unexpected changes in reported figures. Uncertain matches should be sent for review instead of being silently confirmed.</w:t>
      </w:r>
    </w:p>
    <w:p>
      <w:pPr>
        <w:pStyle w:val="Heading1"/>
      </w:pPr>
      <w:r>
        <w:t>4. What the owner should be able to see</w:t>
      </w:r>
    </w:p>
    <w:p>
      <w:r>
        <w:t>The owner-facing experience should make it possible to answer practical questions without waiting for a new spreadsheet to be prepared.</w:t>
      </w:r>
    </w:p>
    <w:p>
      <w:pPr>
        <w:pStyle w:val="ListBullet"/>
        <w:spacing w:after="60"/>
      </w:pPr>
      <w:r>
        <w:t>What is the reported financial position across the group, and how complete and current is the information?</w:t>
      </w:r>
    </w:p>
    <w:p>
      <w:pPr>
        <w:pStyle w:val="ListBullet"/>
        <w:spacing w:after="60"/>
      </w:pPr>
      <w:r>
        <w:t>Where is cash held, in which currencies and accounts, and when was each balance last updated?</w:t>
      </w:r>
    </w:p>
    <w:p>
      <w:pPr>
        <w:pStyle w:val="ListBullet"/>
        <w:spacing w:after="60"/>
      </w:pPr>
      <w:r>
        <w:t>Which entities are generating or consuming cash, based on the information available?</w:t>
      </w:r>
    </w:p>
    <w:p>
      <w:pPr>
        <w:pStyle w:val="ListBullet"/>
        <w:spacing w:after="60"/>
      </w:pPr>
      <w:r>
        <w:t>Which material transactions or balances remain unmatched or unexplained?</w:t>
      </w:r>
    </w:p>
    <w:p>
      <w:pPr>
        <w:pStyle w:val="ListBullet"/>
        <w:spacing w:after="60"/>
      </w:pPr>
      <w:r>
        <w:t>Which entities have not submitted complete reports for the period?</w:t>
      </w:r>
    </w:p>
    <w:p>
      <w:pPr>
        <w:pStyle w:val="ListBullet"/>
        <w:spacing w:after="60"/>
      </w:pPr>
      <w:r>
        <w:t>Can a significant group-level figure be traced to the contributing entity records and any approved adjustments?</w:t>
      </w:r>
    </w:p>
    <w:p>
      <w:r>
        <w:t>The platform should clearly label actuals, book balances, estimates, valuations and forecasts. It should not imply real-time or complete visibility when data access is delayed or incomplete.</w:t>
      </w:r>
    </w:p>
    <w:p>
      <w:pPr>
        <w:pStyle w:val="Heading1"/>
      </w:pPr>
      <w:r>
        <w:t>5. Who may benefit</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28333D"/>
          </w:tcPr>
          <w:p>
            <w:pPr>
              <w:spacing w:after="40"/>
            </w:pPr>
            <w:r/>
            <w:r>
              <w:rPr>
                <w:rFonts w:ascii="Aptos" w:hAnsi="Aptos"/>
                <w:b/>
                <w:color w:val="FFFFFF"/>
                <w:sz w:val="18"/>
              </w:rPr>
              <w:t>Potential user group</w:t>
            </w:r>
          </w:p>
        </w:tc>
        <w:tc>
          <w:tcPr>
            <w:tcW w:type="dxa" w:w="3312"/>
            <w:vAlign w:val="center"/>
            <w:shd w:fill="28333D"/>
          </w:tcPr>
          <w:p>
            <w:pPr>
              <w:spacing w:after="40"/>
            </w:pPr>
            <w:r/>
            <w:r>
              <w:rPr>
                <w:rFonts w:ascii="Aptos" w:hAnsi="Aptos"/>
                <w:b/>
                <w:color w:val="FFFFFF"/>
                <w:sz w:val="18"/>
              </w:rPr>
              <w:t>Likely need</w:t>
            </w:r>
          </w:p>
        </w:tc>
        <w:tc>
          <w:tcPr>
            <w:tcW w:type="dxa" w:w="3312"/>
            <w:vAlign w:val="center"/>
            <w:shd w:fill="28333D"/>
          </w:tcPr>
          <w:p>
            <w:pPr>
              <w:spacing w:after="40"/>
            </w:pPr>
            <w:r/>
            <w:r>
              <w:rPr>
                <w:rFonts w:ascii="Aptos" w:hAnsi="Aptos"/>
                <w:b/>
                <w:color w:val="FFFFFF"/>
                <w:sz w:val="18"/>
              </w:rPr>
              <w:t>Question to validate</w:t>
            </w:r>
          </w:p>
        </w:tc>
      </w:tr>
      <w:tr>
        <w:tc>
          <w:tcPr>
            <w:tcW w:type="dxa" w:w="3312"/>
            <w:vAlign w:val="center"/>
          </w:tcPr>
          <w:p>
            <w:pPr>
              <w:spacing w:after="40"/>
            </w:pPr>
            <w:r/>
            <w:r>
              <w:rPr>
                <w:rFonts w:ascii="Aptos" w:hAnsi="Aptos"/>
                <w:b w:val="0"/>
                <w:sz w:val="16"/>
              </w:rPr>
              <w:t>Family offices</w:t>
            </w:r>
          </w:p>
        </w:tc>
        <w:tc>
          <w:tcPr>
            <w:tcW w:type="dxa" w:w="3312"/>
            <w:vAlign w:val="center"/>
          </w:tcPr>
          <w:p>
            <w:pPr>
              <w:spacing w:after="40"/>
            </w:pPr>
            <w:r/>
            <w:r>
              <w:rPr>
                <w:rFonts w:ascii="Aptos" w:hAnsi="Aptos"/>
                <w:b w:val="0"/>
                <w:sz w:val="16"/>
              </w:rPr>
              <w:t>Consolidated visibility across operating businesses, investments and entities.</w:t>
            </w:r>
          </w:p>
        </w:tc>
        <w:tc>
          <w:tcPr>
            <w:tcW w:type="dxa" w:w="3312"/>
            <w:vAlign w:val="center"/>
          </w:tcPr>
          <w:p>
            <w:pPr>
              <w:spacing w:after="40"/>
            </w:pPr>
            <w:r/>
            <w:r>
              <w:rPr>
                <w:rFonts w:ascii="Aptos" w:hAnsi="Aptos"/>
                <w:b w:val="0"/>
                <w:sz w:val="16"/>
              </w:rPr>
              <w:t>How much manual work is required to produce the family’s reporting pack?</w:t>
            </w:r>
          </w:p>
        </w:tc>
      </w:tr>
      <w:tr>
        <w:tc>
          <w:tcPr>
            <w:tcW w:type="dxa" w:w="3312"/>
            <w:vAlign w:val="center"/>
          </w:tcPr>
          <w:p>
            <w:pPr>
              <w:spacing w:after="40"/>
            </w:pPr>
            <w:r/>
            <w:r>
              <w:rPr>
                <w:rFonts w:ascii="Aptos" w:hAnsi="Aptos"/>
                <w:b w:val="0"/>
                <w:sz w:val="16"/>
              </w:rPr>
              <w:t>Investment holding companies</w:t>
            </w:r>
          </w:p>
        </w:tc>
        <w:tc>
          <w:tcPr>
            <w:tcW w:type="dxa" w:w="3312"/>
            <w:vAlign w:val="center"/>
          </w:tcPr>
          <w:p>
            <w:pPr>
              <w:spacing w:after="40"/>
            </w:pPr>
            <w:r/>
            <w:r>
              <w:rPr>
                <w:rFonts w:ascii="Aptos" w:hAnsi="Aptos"/>
                <w:b w:val="0"/>
                <w:sz w:val="16"/>
              </w:rPr>
              <w:t>Consistent reporting across subsidiaries and investment vehicles.</w:t>
            </w:r>
          </w:p>
        </w:tc>
        <w:tc>
          <w:tcPr>
            <w:tcW w:type="dxa" w:w="3312"/>
            <w:vAlign w:val="center"/>
          </w:tcPr>
          <w:p>
            <w:pPr>
              <w:spacing w:after="40"/>
            </w:pPr>
            <w:r/>
            <w:r>
              <w:rPr>
                <w:rFonts w:ascii="Aptos" w:hAnsi="Aptos"/>
                <w:b w:val="0"/>
                <w:sz w:val="16"/>
              </w:rPr>
              <w:t>Where do consolidation delays and unexplained differences occur?</w:t>
            </w:r>
          </w:p>
        </w:tc>
      </w:tr>
      <w:tr>
        <w:tc>
          <w:tcPr>
            <w:tcW w:type="dxa" w:w="3312"/>
            <w:vAlign w:val="center"/>
          </w:tcPr>
          <w:p>
            <w:pPr>
              <w:spacing w:after="40"/>
            </w:pPr>
            <w:r/>
            <w:r>
              <w:rPr>
                <w:rFonts w:ascii="Aptos" w:hAnsi="Aptos"/>
                <w:b w:val="0"/>
                <w:sz w:val="16"/>
              </w:rPr>
              <w:t>Diversified business groups</w:t>
            </w:r>
          </w:p>
        </w:tc>
        <w:tc>
          <w:tcPr>
            <w:tcW w:type="dxa" w:w="3312"/>
            <w:vAlign w:val="center"/>
          </w:tcPr>
          <w:p>
            <w:pPr>
              <w:spacing w:after="40"/>
            </w:pPr>
            <w:r/>
            <w:r>
              <w:rPr>
                <w:rFonts w:ascii="Aptos" w:hAnsi="Aptos"/>
                <w:b w:val="0"/>
                <w:sz w:val="16"/>
              </w:rPr>
              <w:t>A group-wide view without replacing each business’s systems.</w:t>
            </w:r>
          </w:p>
        </w:tc>
        <w:tc>
          <w:tcPr>
            <w:tcW w:type="dxa" w:w="3312"/>
            <w:vAlign w:val="center"/>
          </w:tcPr>
          <w:p>
            <w:pPr>
              <w:spacing w:after="40"/>
            </w:pPr>
            <w:r/>
            <w:r>
              <w:rPr>
                <w:rFonts w:ascii="Aptos" w:hAnsi="Aptos"/>
                <w:b w:val="0"/>
                <w:sz w:val="16"/>
              </w:rPr>
              <w:t>Which information is unavailable to the group leadership today?</w:t>
            </w:r>
          </w:p>
        </w:tc>
      </w:tr>
      <w:tr>
        <w:tc>
          <w:tcPr>
            <w:tcW w:type="dxa" w:w="3312"/>
            <w:vAlign w:val="center"/>
          </w:tcPr>
          <w:p>
            <w:pPr>
              <w:spacing w:after="40"/>
            </w:pPr>
            <w:r/>
            <w:r>
              <w:rPr>
                <w:rFonts w:ascii="Aptos" w:hAnsi="Aptos"/>
                <w:b w:val="0"/>
                <w:sz w:val="16"/>
              </w:rPr>
              <w:t>Property and asset-owning groups</w:t>
            </w:r>
          </w:p>
        </w:tc>
        <w:tc>
          <w:tcPr>
            <w:tcW w:type="dxa" w:w="3312"/>
            <w:vAlign w:val="center"/>
          </w:tcPr>
          <w:p>
            <w:pPr>
              <w:spacing w:after="40"/>
            </w:pPr>
            <w:r/>
            <w:r>
              <w:rPr>
                <w:rFonts w:ascii="Aptos" w:hAnsi="Aptos"/>
                <w:b w:val="0"/>
                <w:sz w:val="16"/>
              </w:rPr>
              <w:t>Visibility across entities, property cash flows, debt and related-party movements.</w:t>
            </w:r>
          </w:p>
        </w:tc>
        <w:tc>
          <w:tcPr>
            <w:tcW w:type="dxa" w:w="3312"/>
            <w:vAlign w:val="center"/>
          </w:tcPr>
          <w:p>
            <w:pPr>
              <w:spacing w:after="40"/>
            </w:pPr>
            <w:r/>
            <w:r>
              <w:rPr>
                <w:rFonts w:ascii="Aptos" w:hAnsi="Aptos"/>
                <w:b w:val="0"/>
                <w:sz w:val="16"/>
              </w:rPr>
              <w:t>How are financial and asset records currently combined?</w:t>
            </w:r>
          </w:p>
        </w:tc>
      </w:tr>
      <w:tr>
        <w:tc>
          <w:tcPr>
            <w:tcW w:type="dxa" w:w="3312"/>
            <w:vAlign w:val="center"/>
          </w:tcPr>
          <w:p>
            <w:pPr>
              <w:spacing w:after="40"/>
            </w:pPr>
            <w:r/>
            <w:r>
              <w:rPr>
                <w:rFonts w:ascii="Aptos" w:hAnsi="Aptos"/>
                <w:b w:val="0"/>
                <w:sz w:val="16"/>
              </w:rPr>
              <w:t>Private investment firms</w:t>
            </w:r>
          </w:p>
        </w:tc>
        <w:tc>
          <w:tcPr>
            <w:tcW w:type="dxa" w:w="3312"/>
            <w:vAlign w:val="center"/>
          </w:tcPr>
          <w:p>
            <w:pPr>
              <w:spacing w:after="40"/>
            </w:pPr>
            <w:r/>
            <w:r>
              <w:rPr>
                <w:rFonts w:ascii="Aptos" w:hAnsi="Aptos"/>
                <w:b w:val="0"/>
                <w:sz w:val="16"/>
              </w:rPr>
              <w:t>Portfolio reporting, entity-level financial information and traceability.</w:t>
            </w:r>
          </w:p>
        </w:tc>
        <w:tc>
          <w:tcPr>
            <w:tcW w:type="dxa" w:w="3312"/>
            <w:vAlign w:val="center"/>
          </w:tcPr>
          <w:p>
            <w:pPr>
              <w:spacing w:after="40"/>
            </w:pPr>
            <w:r/>
            <w:r>
              <w:rPr>
                <w:rFonts w:ascii="Aptos" w:hAnsi="Aptos"/>
                <w:b w:val="0"/>
                <w:sz w:val="16"/>
              </w:rPr>
              <w:t>Which portfolio data can be obtained consistently and at what cost?</w:t>
            </w:r>
          </w:p>
        </w:tc>
      </w:tr>
    </w:tbl>
    <w:p>
      <w:pPr>
        <w:pStyle w:val="Heading1"/>
      </w:pPr>
      <w:r>
        <w:t>6. How it would work</w:t>
      </w:r>
    </w:p>
    <w:p>
      <w:pPr>
        <w:pStyle w:val="ListNumber"/>
        <w:spacing w:after="40"/>
      </w:pPr>
      <w:r>
        <w:rPr>
          <w:b/>
        </w:rPr>
        <w:t xml:space="preserve">Connect or collect. </w:t>
      </w:r>
      <w:r>
        <w:t>Receive data through structured file uploads first, then add selected accounting, ERP, bank or investment integrations where they provide clear value.</w:t>
      </w:r>
    </w:p>
    <w:p>
      <w:pPr>
        <w:pStyle w:val="ListNumber"/>
        <w:spacing w:after="40"/>
      </w:pPr>
      <w:r>
        <w:rPr>
          <w:b/>
        </w:rPr>
        <w:t xml:space="preserve">Validate and standardise. </w:t>
      </w:r>
      <w:r>
        <w:t>Check file structure, duplicates, reporting periods, currencies and required fields. Map source accounts to a common group reporting structure.</w:t>
      </w:r>
    </w:p>
    <w:p>
      <w:pPr>
        <w:pStyle w:val="ListNumber"/>
        <w:spacing w:after="40"/>
      </w:pPr>
      <w:r>
        <w:rPr>
          <w:b/>
        </w:rPr>
        <w:t xml:space="preserve">Reconcile related records. </w:t>
      </w:r>
      <w:r>
        <w:t>Compare relevant bank, ledger, transaction and intercompany records. Record confirmed matches and route uncertain items to a review queue.</w:t>
      </w:r>
    </w:p>
    <w:p>
      <w:pPr>
        <w:pStyle w:val="ListNumber"/>
        <w:spacing w:after="40"/>
      </w:pPr>
      <w:r>
        <w:rPr>
          <w:b/>
        </w:rPr>
        <w:t xml:space="preserve">Consolidate and explain. </w:t>
      </w:r>
      <w:r>
        <w:t>Aggregate entity results under documented reporting and ownership rules. Keep approved adjustments distinct from source records.</w:t>
      </w:r>
    </w:p>
    <w:p>
      <w:pPr>
        <w:pStyle w:val="ListNumber"/>
        <w:spacing w:after="40"/>
      </w:pPr>
      <w:r>
        <w:rPr>
          <w:b/>
        </w:rPr>
        <w:t xml:space="preserve">Present and act. </w:t>
      </w:r>
      <w:r>
        <w:t>Show the owner the consolidated view and material exceptions. Allow authorised finance users to drill down, investigate, resolve and document issues.</w:t>
      </w:r>
    </w:p>
    <w:p>
      <w:pPr>
        <w:pStyle w:val="Heading1"/>
      </w:pPr>
      <w:r>
        <w:t>7. Initial product scope</w:t>
      </w:r>
    </w:p>
    <w:p>
      <w:r>
        <w:t>The first version should prove that useful financial visibility can be produced from a small number of real entities with fragmented source data. It should prioritise accuracy, traceability and a usable reporting workflow over a long list of advanced features.</w:t>
      </w:r>
    </w:p>
    <w:p>
      <w:pPr>
        <w:pStyle w:val="Heading2"/>
      </w:pPr>
      <w:r>
        <w:t>Proposed initial capabilities</w:t>
      </w:r>
    </w:p>
    <w:p>
      <w:pPr>
        <w:pStyle w:val="ListBullet"/>
        <w:spacing w:after="60"/>
      </w:pPr>
      <w:r>
        <w:t>Group workspace, entity register and basic ownership relationships.</w:t>
      </w:r>
    </w:p>
    <w:p>
      <w:pPr>
        <w:pStyle w:val="ListBullet"/>
        <w:spacing w:after="60"/>
      </w:pPr>
      <w:r>
        <w:t>Secure user access with role-based permissions and an audit history.</w:t>
      </w:r>
    </w:p>
    <w:p>
      <w:pPr>
        <w:pStyle w:val="ListBullet"/>
        <w:spacing w:after="60"/>
      </w:pPr>
      <w:r>
        <w:t>Excel and CSV imports for financial statements, trial balances, transaction exports and available bank statements.</w:t>
      </w:r>
    </w:p>
    <w:p>
      <w:pPr>
        <w:pStyle w:val="ListBullet"/>
        <w:spacing w:after="60"/>
      </w:pPr>
      <w:r>
        <w:t>Source-to-group account mapping with review and approval.</w:t>
      </w:r>
    </w:p>
    <w:p>
      <w:pPr>
        <w:pStyle w:val="ListBullet"/>
        <w:spacing w:after="60"/>
      </w:pPr>
      <w:r>
        <w:t>Consolidated income statement and balance sheet for an agreed reporting scope.</w:t>
      </w:r>
    </w:p>
    <w:p>
      <w:pPr>
        <w:pStyle w:val="ListBullet"/>
        <w:spacing w:after="60"/>
      </w:pPr>
      <w:r>
        <w:t>Cash visibility based on available source records, with clear data freshness indicators.</w:t>
      </w:r>
    </w:p>
    <w:p>
      <w:pPr>
        <w:pStyle w:val="ListBullet"/>
        <w:spacing w:after="60"/>
      </w:pPr>
      <w:r>
        <w:t>Transaction listing with source references and drill-down.</w:t>
      </w:r>
    </w:p>
    <w:p>
      <w:pPr>
        <w:pStyle w:val="ListBullet"/>
        <w:spacing w:after="60"/>
      </w:pPr>
      <w:r>
        <w:t>Basic bank-to-ledger and intercompany reconciliation.</w:t>
      </w:r>
    </w:p>
    <w:p>
      <w:pPr>
        <w:pStyle w:val="ListBullet"/>
        <w:spacing w:after="60"/>
      </w:pPr>
      <w:r>
        <w:t>Exception queue for missing reports, mismatches and data-quality issues.</w:t>
      </w:r>
    </w:p>
    <w:p>
      <w:pPr>
        <w:pStyle w:val="ListBullet"/>
        <w:spacing w:after="60"/>
      </w:pPr>
      <w:r>
        <w:t>Owner dashboard and exportable management report.</w:t>
      </w:r>
    </w:p>
    <w:p>
      <w:pPr>
        <w:pStyle w:val="Heading2"/>
      </w:pPr>
      <w:r>
        <w:t>Not initially included</w:t>
      </w:r>
    </w:p>
    <w:p>
      <w:pPr>
        <w:pStyle w:val="ListBullet"/>
        <w:spacing w:after="60"/>
      </w:pPr>
      <w:r>
        <w:t>Replacing the accounting or ERP system of every entity.</w:t>
      </w:r>
    </w:p>
    <w:p>
      <w:pPr>
        <w:pStyle w:val="ListBullet"/>
        <w:spacing w:after="60"/>
      </w:pPr>
      <w:r>
        <w:t>Initiating payments or acting as a bank, custodian or payment service provider.</w:t>
      </w:r>
    </w:p>
    <w:p>
      <w:pPr>
        <w:pStyle w:val="ListBullet"/>
        <w:spacing w:after="60"/>
      </w:pPr>
      <w:r>
        <w:t>Universal live connectivity to every bank, ERP or investment platform.</w:t>
      </w:r>
    </w:p>
    <w:p>
      <w:pPr>
        <w:pStyle w:val="ListBullet"/>
        <w:spacing w:after="60"/>
      </w:pPr>
      <w:r>
        <w:t>Unreviewed automatic accounting adjustments.</w:t>
      </w:r>
    </w:p>
    <w:p>
      <w:pPr>
        <w:pStyle w:val="ListBullet"/>
        <w:spacing w:after="60"/>
      </w:pPr>
      <w:r>
        <w:t>Full tax filing, statutory accounts production or audit certification.</w:t>
      </w:r>
    </w:p>
    <w:p>
      <w:pPr>
        <w:pStyle w:val="ListBullet"/>
        <w:spacing w:after="60"/>
      </w:pPr>
      <w:r>
        <w:t>Automated trading or investment recommendations.</w:t>
      </w:r>
    </w:p>
    <w:p>
      <w:pPr>
        <w:pStyle w:val="Heading1"/>
      </w:pPr>
      <w:r>
        <w:t>8. Trust, governance and data protection</w:t>
      </w:r>
    </w:p>
    <w:p>
      <w:r>
        <w:t>The platform would handle highly confidential financial information. Trust must therefore be built into the product design, data model and operating procedures from the beginning.</w:t>
      </w:r>
    </w:p>
    <w:p>
      <w:pPr>
        <w:pStyle w:val="ListBullet"/>
        <w:spacing w:after="60"/>
      </w:pPr>
      <w:r>
        <w:t>Preserve source records and maintain traceability from consolidated figures to their inputs.</w:t>
      </w:r>
    </w:p>
    <w:p>
      <w:pPr>
        <w:pStyle w:val="ListBullet"/>
        <w:spacing w:after="60"/>
      </w:pPr>
      <w:r>
        <w:t>Use tenant and entity-level access controls, multi-factor authentication for privileged users, and encryption in transit and at rest.</w:t>
      </w:r>
    </w:p>
    <w:p>
      <w:pPr>
        <w:pStyle w:val="ListBullet"/>
        <w:spacing w:after="60"/>
      </w:pPr>
      <w:r>
        <w:t>Record imports, mappings, adjustments, approvals, overrides and sensitive access events in an auditable history.</w:t>
      </w:r>
    </w:p>
    <w:p>
      <w:pPr>
        <w:pStyle w:val="ListBullet"/>
        <w:spacing w:after="60"/>
      </w:pPr>
      <w:r>
        <w:t>Separate preparation from approval where appropriate and control reopening of reporting periods.</w:t>
      </w:r>
    </w:p>
    <w:p>
      <w:pPr>
        <w:pStyle w:val="ListBullet"/>
        <w:spacing w:after="60"/>
      </w:pPr>
      <w:r>
        <w:t>Clearly label data source, reporting period, freshness, approval status and material limitations.</w:t>
      </w:r>
    </w:p>
    <w:p>
      <w:pPr>
        <w:pStyle w:val="ListBullet"/>
        <w:spacing w:after="60"/>
      </w:pPr>
      <w:r>
        <w:t>Agree data access, retention, deletion, incident response and hosting arrangements with each customer.</w:t>
      </w:r>
    </w:p>
    <w:p>
      <w:pPr>
        <w:pStyle w:val="ListBullet"/>
        <w:spacing w:after="60"/>
      </w:pPr>
      <w:r>
        <w:t>Assess applicable Kenyan data-protection obligations and any regulatory implications of the final operating model.</w:t>
      </w:r>
    </w:p>
    <w:p>
      <w:r>
        <w:t>The platform should initially be a read-only visibility and control layer wherever feasible. Access to financial data should be explicitly authorised by the customer, and the system should not make claims about completeness or real-time availability beyond what its connections support.</w:t>
      </w:r>
    </w:p>
    <w:p>
      <w:pPr>
        <w:pStyle w:val="Heading1"/>
      </w:pPr>
      <w:r>
        <w:t>9. Differentiation and competitive hypothesis</w:t>
      </w:r>
    </w:p>
    <w:p>
      <w:r>
        <w:t>Financial consolidation, wealth reporting and multi-entity accounting are established software categories. The opportunity is therefore not simply to produce another dashboard. Potential differentiation should be tested around the ability to work across mixed systems and spreadsheets, provide traceable group-level information, and make implementation practical for the target customer.</w:t>
      </w:r>
    </w:p>
    <w:p>
      <w:pPr>
        <w:pStyle w:val="ListBullet"/>
        <w:spacing w:after="60"/>
      </w:pPr>
      <w:r>
        <w:t>Heterogeneous-data approach: work with the systems the group already uses.</w:t>
      </w:r>
    </w:p>
    <w:p>
      <w:pPr>
        <w:pStyle w:val="ListBullet"/>
        <w:spacing w:after="60"/>
      </w:pPr>
      <w:r>
        <w:t>Owner-centric experience: present decisions, material changes and exceptions in addition to accounting reports.</w:t>
      </w:r>
    </w:p>
    <w:p>
      <w:pPr>
        <w:pStyle w:val="ListBullet"/>
        <w:spacing w:after="60"/>
      </w:pPr>
      <w:r>
        <w:t>Traceability: make it easy to investigate how a consolidated number was produced.</w:t>
      </w:r>
    </w:p>
    <w:p>
      <w:pPr>
        <w:pStyle w:val="ListBullet"/>
        <w:spacing w:after="60"/>
      </w:pPr>
      <w:r>
        <w:t>Practical implementation: begin with files and repeatable templates before undertaking costly integrations.</w:t>
      </w:r>
    </w:p>
    <w:p>
      <w:pPr>
        <w:pStyle w:val="ListBullet"/>
        <w:spacing w:after="60"/>
      </w:pPr>
      <w:r>
        <w:t>Regional fit: investigate local reporting practices, currencies, banking data availability and support expectations.</w:t>
      </w:r>
    </w:p>
    <w:p>
      <w:r>
        <w:t>These are product hypotheses rather than proven advantages. A competitive review and buyer interviews should establish which capabilities are already available, where alternatives fall short and whether those gaps are important enough to drive a purchase.</w:t>
      </w:r>
    </w:p>
    <w:p>
      <w:pPr>
        <w:pStyle w:val="Heading1"/>
      </w:pPr>
      <w:r>
        <w:t>10. Proposed pilot</w:t>
      </w:r>
    </w:p>
    <w:p>
      <w:r>
        <w:t>The recommended approach is a short, two-week proof of concept with one design partner, followed—only if the results justify it—by an optional four-to-six-week implementation pilot. The proof of concept should demonstrate the core value using a limited, representative dataset. The longer pilot would test recurring workflows, reliability and operational fit.</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28333D"/>
          </w:tcPr>
          <w:p>
            <w:pPr>
              <w:spacing w:after="40"/>
            </w:pPr>
            <w:r/>
            <w:r>
              <w:rPr>
                <w:rFonts w:ascii="Aptos" w:hAnsi="Aptos"/>
                <w:b/>
                <w:color w:val="FFFFFF"/>
                <w:sz w:val="18"/>
              </w:rPr>
              <w:t>Stage</w:t>
            </w:r>
          </w:p>
        </w:tc>
        <w:tc>
          <w:tcPr>
            <w:tcW w:type="dxa" w:w="3312"/>
            <w:vAlign w:val="center"/>
            <w:shd w:fill="28333D"/>
          </w:tcPr>
          <w:p>
            <w:pPr>
              <w:spacing w:after="40"/>
            </w:pPr>
            <w:r/>
            <w:r>
              <w:rPr>
                <w:rFonts w:ascii="Aptos" w:hAnsi="Aptos"/>
                <w:b/>
                <w:color w:val="FFFFFF"/>
                <w:sz w:val="18"/>
              </w:rPr>
              <w:t>Activities</w:t>
            </w:r>
          </w:p>
        </w:tc>
        <w:tc>
          <w:tcPr>
            <w:tcW w:type="dxa" w:w="3312"/>
            <w:vAlign w:val="center"/>
            <w:shd w:fill="28333D"/>
          </w:tcPr>
          <w:p>
            <w:pPr>
              <w:spacing w:after="40"/>
            </w:pPr>
            <w:r/>
            <w:r>
              <w:rPr>
                <w:rFonts w:ascii="Aptos" w:hAnsi="Aptos"/>
                <w:b/>
                <w:color w:val="FFFFFF"/>
                <w:sz w:val="18"/>
              </w:rPr>
              <w:t>Output</w:t>
            </w:r>
          </w:p>
        </w:tc>
      </w:tr>
      <w:tr>
        <w:tc>
          <w:tcPr>
            <w:tcW w:type="dxa" w:w="3312"/>
            <w:vAlign w:val="center"/>
          </w:tcPr>
          <w:p>
            <w:pPr>
              <w:spacing w:after="40"/>
            </w:pPr>
            <w:r/>
            <w:r>
              <w:rPr>
                <w:rFonts w:ascii="Aptos" w:hAnsi="Aptos"/>
                <w:b/>
                <w:sz w:val="16"/>
              </w:rPr>
              <w:t>POC — Days 1–2</w:t>
            </w:r>
          </w:p>
        </w:tc>
        <w:tc>
          <w:tcPr>
            <w:tcW w:type="dxa" w:w="3312"/>
            <w:vAlign w:val="center"/>
          </w:tcPr>
          <w:p>
            <w:pPr>
              <w:spacing w:after="40"/>
            </w:pPr>
            <w:r/>
            <w:r>
              <w:rPr>
                <w:rFonts w:ascii="Aptos" w:hAnsi="Aptos"/>
                <w:b w:val="0"/>
                <w:sz w:val="16"/>
              </w:rPr>
              <w:t>Confirm the executive sponsor, finance contact, participating entities, data access, security arrangements and success criteria.</w:t>
            </w:r>
          </w:p>
        </w:tc>
        <w:tc>
          <w:tcPr>
            <w:tcW w:type="dxa" w:w="3312"/>
            <w:vAlign w:val="center"/>
          </w:tcPr>
          <w:p>
            <w:pPr>
              <w:spacing w:after="40"/>
            </w:pPr>
            <w:r/>
            <w:r>
              <w:rPr>
                <w:rFonts w:ascii="Aptos" w:hAnsi="Aptos"/>
                <w:b w:val="0"/>
                <w:sz w:val="16"/>
              </w:rPr>
              <w:t>Agreed scope, baseline and authorised dataset.</w:t>
            </w:r>
          </w:p>
        </w:tc>
      </w:tr>
      <w:tr>
        <w:tc>
          <w:tcPr>
            <w:tcW w:type="dxa" w:w="3312"/>
            <w:vAlign w:val="center"/>
          </w:tcPr>
          <w:p>
            <w:pPr>
              <w:spacing w:after="40"/>
            </w:pPr>
            <w:r/>
            <w:r>
              <w:rPr>
                <w:rFonts w:ascii="Aptos" w:hAnsi="Aptos"/>
                <w:b/>
                <w:sz w:val="16"/>
              </w:rPr>
              <w:t>POC — Days 3–5</w:t>
            </w:r>
          </w:p>
        </w:tc>
        <w:tc>
          <w:tcPr>
            <w:tcW w:type="dxa" w:w="3312"/>
            <w:vAlign w:val="center"/>
          </w:tcPr>
          <w:p>
            <w:pPr>
              <w:spacing w:after="40"/>
            </w:pPr>
            <w:r/>
            <w:r>
              <w:rPr>
                <w:rFonts w:ascii="Aptos" w:hAnsi="Aptos"/>
                <w:b w:val="0"/>
                <w:sz w:val="16"/>
              </w:rPr>
              <w:t>Import a limited set of reports and transaction records; validate source data and map accounts to a common reporting structure.</w:t>
            </w:r>
          </w:p>
        </w:tc>
        <w:tc>
          <w:tcPr>
            <w:tcW w:type="dxa" w:w="3312"/>
            <w:vAlign w:val="center"/>
          </w:tcPr>
          <w:p>
            <w:pPr>
              <w:spacing w:after="40"/>
            </w:pPr>
            <w:r/>
            <w:r>
              <w:rPr>
                <w:rFonts w:ascii="Aptos" w:hAnsi="Aptos"/>
                <w:b w:val="0"/>
                <w:sz w:val="16"/>
              </w:rPr>
              <w:t>Validated dataset and initial consolidated view.</w:t>
            </w:r>
          </w:p>
        </w:tc>
      </w:tr>
      <w:tr>
        <w:tc>
          <w:tcPr>
            <w:tcW w:type="dxa" w:w="3312"/>
            <w:vAlign w:val="center"/>
          </w:tcPr>
          <w:p>
            <w:pPr>
              <w:spacing w:after="40"/>
            </w:pPr>
            <w:r/>
            <w:r>
              <w:rPr>
                <w:rFonts w:ascii="Aptos" w:hAnsi="Aptos"/>
                <w:b/>
                <w:sz w:val="16"/>
              </w:rPr>
              <w:t>POC — Days 6–8</w:t>
            </w:r>
          </w:p>
        </w:tc>
        <w:tc>
          <w:tcPr>
            <w:tcW w:type="dxa" w:w="3312"/>
            <w:vAlign w:val="center"/>
          </w:tcPr>
          <w:p>
            <w:pPr>
              <w:spacing w:after="40"/>
            </w:pPr>
            <w:r/>
            <w:r>
              <w:rPr>
                <w:rFonts w:ascii="Aptos" w:hAnsi="Aptos"/>
                <w:b w:val="0"/>
                <w:sz w:val="16"/>
              </w:rPr>
              <w:t>Demonstrate consolidated reporting, source drill-down and sample transaction matching; record exceptions and discrepancies.</w:t>
            </w:r>
          </w:p>
        </w:tc>
        <w:tc>
          <w:tcPr>
            <w:tcW w:type="dxa" w:w="3312"/>
            <w:vAlign w:val="center"/>
          </w:tcPr>
          <w:p>
            <w:pPr>
              <w:spacing w:after="40"/>
            </w:pPr>
            <w:r/>
            <w:r>
              <w:rPr>
                <w:rFonts w:ascii="Aptos" w:hAnsi="Aptos"/>
                <w:b w:val="0"/>
                <w:sz w:val="16"/>
              </w:rPr>
              <w:t>Working proof of concept and exception log.</w:t>
            </w:r>
          </w:p>
        </w:tc>
      </w:tr>
      <w:tr>
        <w:tc>
          <w:tcPr>
            <w:tcW w:type="dxa" w:w="3312"/>
            <w:vAlign w:val="center"/>
          </w:tcPr>
          <w:p>
            <w:pPr>
              <w:spacing w:after="40"/>
            </w:pPr>
            <w:r/>
            <w:r>
              <w:rPr>
                <w:rFonts w:ascii="Aptos" w:hAnsi="Aptos"/>
                <w:b/>
                <w:sz w:val="16"/>
              </w:rPr>
              <w:t>POC — Days 9–10</w:t>
            </w:r>
          </w:p>
        </w:tc>
        <w:tc>
          <w:tcPr>
            <w:tcW w:type="dxa" w:w="3312"/>
            <w:vAlign w:val="center"/>
          </w:tcPr>
          <w:p>
            <w:pPr>
              <w:spacing w:after="40"/>
            </w:pPr>
            <w:r/>
            <w:r>
              <w:rPr>
                <w:rFonts w:ascii="Aptos" w:hAnsi="Aptos"/>
                <w:b w:val="0"/>
                <w:sz w:val="16"/>
              </w:rPr>
              <w:t>Review results with the owner and finance lead; compare against current workflow and decide whether to proceed.</w:t>
            </w:r>
          </w:p>
        </w:tc>
        <w:tc>
          <w:tcPr>
            <w:tcW w:type="dxa" w:w="3312"/>
            <w:vAlign w:val="center"/>
          </w:tcPr>
          <w:p>
            <w:pPr>
              <w:spacing w:after="40"/>
            </w:pPr>
            <w:r/>
            <w:r>
              <w:rPr>
                <w:rFonts w:ascii="Aptos" w:hAnsi="Aptos"/>
                <w:b w:val="0"/>
                <w:sz w:val="16"/>
              </w:rPr>
              <w:t>POC findings, measured results and go/no-go decision.</w:t>
            </w:r>
          </w:p>
        </w:tc>
      </w:tr>
      <w:tr>
        <w:tc>
          <w:tcPr>
            <w:tcW w:type="dxa" w:w="3312"/>
            <w:vAlign w:val="center"/>
          </w:tcPr>
          <w:p>
            <w:pPr>
              <w:spacing w:after="40"/>
            </w:pPr>
            <w:r/>
            <w:r>
              <w:rPr>
                <w:rFonts w:ascii="Aptos" w:hAnsi="Aptos"/>
                <w:b/>
                <w:sz w:val="16"/>
              </w:rPr>
              <w:t>Optional pilot — 4–6 weeks</w:t>
            </w:r>
          </w:p>
        </w:tc>
        <w:tc>
          <w:tcPr>
            <w:tcW w:type="dxa" w:w="3312"/>
            <w:vAlign w:val="center"/>
          </w:tcPr>
          <w:p>
            <w:pPr>
              <w:spacing w:after="40"/>
            </w:pPr>
            <w:r/>
            <w:r>
              <w:rPr>
                <w:rFonts w:ascii="Aptos" w:hAnsi="Aptos"/>
                <w:b w:val="0"/>
                <w:sz w:val="16"/>
              </w:rPr>
              <w:t>If approved, test recurring imports, more entities or periods, stronger reconciliation workflows, user roles, operational reliability and agreed integrations.</w:t>
            </w:r>
          </w:p>
        </w:tc>
        <w:tc>
          <w:tcPr>
            <w:tcW w:type="dxa" w:w="3312"/>
            <w:vAlign w:val="center"/>
          </w:tcPr>
          <w:p>
            <w:pPr>
              <w:spacing w:after="40"/>
            </w:pPr>
            <w:r/>
            <w:r>
              <w:rPr>
                <w:rFonts w:ascii="Aptos" w:hAnsi="Aptos"/>
                <w:b w:val="0"/>
                <w:sz w:val="16"/>
              </w:rPr>
              <w:t>Implementation pilot report, acceptance results and commercial proposal.</w:t>
            </w:r>
          </w:p>
        </w:tc>
      </w:tr>
    </w:tbl>
    <w:p>
      <w:pPr>
        <w:spacing w:after="120"/>
      </w:pPr>
      <w:r>
        <w:t>Proof-of-concept boundaries: the two-week stage is not intended to deliver production-grade automation, universal integrations or full reconciliation of every transaction. It should use a manageable sample, with any manual processing disclosed. The clock should begin once agreed data, permissions and customer contacts are available. The optional implementation pilot should be separately scoped and approved.</w:t>
      </w:r>
    </w:p>
    <w:p>
      <w:pPr>
        <w:pStyle w:val="Heading1"/>
      </w:pPr>
      <w:r>
        <w:t>11. How success will be measured</w:t>
      </w:r>
    </w:p>
    <w:p>
      <w:r>
        <w:t>Success measures should be agreed before the proof of concept begins. The two-week stage tests feasibility and value on a limited dataset; the optional implementation pilot tests repeatability and operational readiness. Targets should be calibrated to the quality and complexity of the selected data.</w:t>
      </w:r>
    </w:p>
    <w:p>
      <w:pPr>
        <w:pStyle w:val="ListBullet"/>
        <w:spacing w:after="60"/>
      </w:pPr>
      <w:r>
        <w:t>At least 95% of valid records in the agreed dataset are imported correctly.</w:t>
      </w:r>
    </w:p>
    <w:p>
      <w:pPr>
        <w:pStyle w:val="ListBullet"/>
        <w:spacing w:after="60"/>
      </w:pPr>
      <w:r>
        <w:t>All displayed consolidated totals can be traced to source records or documented adjustments.</w:t>
      </w:r>
    </w:p>
    <w:p>
      <w:pPr>
        <w:pStyle w:val="ListBullet"/>
        <w:spacing w:after="60"/>
      </w:pPr>
      <w:r>
        <w:t>Repeated imports do not create duplicate records.</w:t>
      </w:r>
    </w:p>
    <w:p>
      <w:pPr>
        <w:pStyle w:val="ListBullet"/>
        <w:spacing w:after="60"/>
      </w:pPr>
      <w:r>
        <w:t>The agreed reports reconcile to independently verified reference results, with differences documented.</w:t>
      </w:r>
    </w:p>
    <w:p>
      <w:pPr>
        <w:pStyle w:val="ListBullet"/>
        <w:spacing w:after="60"/>
      </w:pPr>
      <w:r>
        <w:t>Manual reporting preparation time falls by at least 50% compared with the measured baseline.</w:t>
      </w:r>
    </w:p>
    <w:p>
      <w:pPr>
        <w:pStyle w:val="ListBullet"/>
        <w:spacing w:after="60"/>
      </w:pPr>
      <w:r>
        <w:t>Seeded material errors and missing-report scenarios are detected correctly.</w:t>
      </w:r>
    </w:p>
    <w:p>
      <w:pPr>
        <w:pStyle w:val="ListBullet"/>
        <w:spacing w:after="60"/>
      </w:pPr>
      <w:r>
        <w:t>The owner can answer an agreed set of financial questions without requesting a separately prepared spreadsheet.</w:t>
      </w:r>
    </w:p>
    <w:p>
      <w:pPr>
        <w:pStyle w:val="ListBullet"/>
        <w:spacing w:after="60"/>
      </w:pPr>
      <w:r>
        <w:t>No unresolved critical security issues remain before live financial data is used.</w:t>
      </w:r>
    </w:p>
    <w:p>
      <w:pPr>
        <w:pStyle w:val="ListBullet"/>
        <w:spacing w:after="60"/>
      </w:pPr>
      <w:r>
        <w:t>The design partner is willing to consider a paid continuation if agreed acceptance criteria are met.</w:t>
      </w:r>
    </w:p>
    <w:p>
      <w:pPr>
        <w:pStyle w:val="Heading1"/>
      </w:pPr>
      <w:r>
        <w:t>12. Commercial model to test</w:t>
      </w:r>
    </w:p>
    <w:p>
      <w:r>
        <w:t>A potential model combines a recurring software subscription with a one-off implementation fee. Subscription pricing could reflect the number of entities, reporting complexity, user requirements and integration scope. Implementation fees would cover onboarding, account mapping, data preparation and initial reconciliation.</w:t>
      </w:r>
    </w:p>
    <w:p>
      <w:r>
        <w:t>Illustrative monthly subscription hypotheses previously considered are KSh 50,000 for a smaller group, KSh 100,000 for a growing multi-entity group, and from KSh 200,000 for more complex enterprise requirements. These figures are not market-validated prices and should only be used as prompts for structured willingness-to-pay interviews.</w:t>
      </w:r>
    </w:p>
    <w:p>
      <w:r>
        <w:t>A scalable business will require repeatable onboarding, reusable connectors and templates, controlled customisation and manageable ongoing support costs. If every customer requires extensive bespoke development, the model may be closer to consulting than repeatable software.</w:t>
      </w:r>
    </w:p>
    <w:p>
      <w:pPr>
        <w:pStyle w:val="Heading1"/>
      </w:pPr>
      <w:r>
        <w:t>13. Principal risks and responses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28333D"/>
          </w:tcPr>
          <w:p>
            <w:pPr>
              <w:spacing w:after="40"/>
            </w:pPr>
            <w:r/>
            <w:r>
              <w:rPr>
                <w:rFonts w:ascii="Aptos" w:hAnsi="Aptos"/>
                <w:b/>
                <w:color w:val="FFFFFF"/>
                <w:sz w:val="18"/>
              </w:rPr>
              <w:t>Risk</w:t>
            </w:r>
          </w:p>
        </w:tc>
        <w:tc>
          <w:tcPr>
            <w:tcW w:type="dxa" w:w="4968"/>
            <w:vAlign w:val="center"/>
            <w:shd w:fill="28333D"/>
          </w:tcPr>
          <w:p>
            <w:pPr>
              <w:spacing w:after="40"/>
            </w:pPr>
            <w:r/>
            <w:r>
              <w:rPr>
                <w:rFonts w:ascii="Aptos" w:hAnsi="Aptos"/>
                <w:b/>
                <w:color w:val="FFFFFF"/>
                <w:sz w:val="18"/>
              </w:rPr>
              <w:t>Proposed response</w:t>
            </w:r>
          </w:p>
        </w:tc>
      </w:tr>
      <w:tr>
        <w:tc>
          <w:tcPr>
            <w:tcW w:type="dxa" w:w="4968"/>
            <w:vAlign w:val="center"/>
          </w:tcPr>
          <w:p>
            <w:pPr>
              <w:spacing w:after="40"/>
            </w:pPr>
            <w:r/>
            <w:r>
              <w:rPr>
                <w:rFonts w:ascii="Aptos" w:hAnsi="Aptos"/>
                <w:b/>
                <w:sz w:val="16"/>
              </w:rPr>
              <w:t>Poor or inconsistent source data</w:t>
            </w:r>
          </w:p>
        </w:tc>
        <w:tc>
          <w:tcPr>
            <w:tcW w:type="dxa" w:w="4968"/>
            <w:vAlign w:val="center"/>
          </w:tcPr>
          <w:p>
            <w:pPr>
              <w:spacing w:after="40"/>
            </w:pPr>
            <w:r/>
            <w:r>
              <w:rPr>
                <w:rFonts w:ascii="Aptos" w:hAnsi="Aptos"/>
                <w:b w:val="0"/>
                <w:sz w:val="16"/>
              </w:rPr>
              <w:t>Validation, clear exception handling and explicit completeness indicators.</w:t>
            </w:r>
          </w:p>
        </w:tc>
      </w:tr>
      <w:tr>
        <w:tc>
          <w:tcPr>
            <w:tcW w:type="dxa" w:w="4968"/>
            <w:vAlign w:val="center"/>
          </w:tcPr>
          <w:p>
            <w:pPr>
              <w:spacing w:after="40"/>
            </w:pPr>
            <w:r/>
            <w:r>
              <w:rPr>
                <w:rFonts w:ascii="Aptos" w:hAnsi="Aptos"/>
                <w:b/>
                <w:sz w:val="16"/>
              </w:rPr>
              <w:t>Customisation becomes unmanageable</w:t>
            </w:r>
          </w:p>
        </w:tc>
        <w:tc>
          <w:tcPr>
            <w:tcW w:type="dxa" w:w="4968"/>
            <w:vAlign w:val="center"/>
          </w:tcPr>
          <w:p>
            <w:pPr>
              <w:spacing w:after="40"/>
            </w:pPr>
            <w:r/>
            <w:r>
              <w:rPr>
                <w:rFonts w:ascii="Aptos" w:hAnsi="Aptos"/>
                <w:b w:val="0"/>
                <w:sz w:val="16"/>
              </w:rPr>
              <w:t>Standard financial model, reusable templates and separately scoped bespoke work.</w:t>
            </w:r>
          </w:p>
        </w:tc>
      </w:tr>
      <w:tr>
        <w:tc>
          <w:tcPr>
            <w:tcW w:type="dxa" w:w="4968"/>
            <w:vAlign w:val="center"/>
          </w:tcPr>
          <w:p>
            <w:pPr>
              <w:spacing w:after="40"/>
            </w:pPr>
            <w:r/>
            <w:r>
              <w:rPr>
                <w:rFonts w:ascii="Aptos" w:hAnsi="Aptos"/>
                <w:b/>
                <w:sz w:val="16"/>
              </w:rPr>
              <w:t>False confidence in consolidated totals</w:t>
            </w:r>
          </w:p>
        </w:tc>
        <w:tc>
          <w:tcPr>
            <w:tcW w:type="dxa" w:w="4968"/>
            <w:vAlign w:val="center"/>
          </w:tcPr>
          <w:p>
            <w:pPr>
              <w:spacing w:after="40"/>
            </w:pPr>
            <w:r/>
            <w:r>
              <w:rPr>
                <w:rFonts w:ascii="Aptos" w:hAnsi="Aptos"/>
                <w:b w:val="0"/>
                <w:sz w:val="16"/>
              </w:rPr>
              <w:t>Source lineage, reviewable adjustments and documented consolidation policies.</w:t>
            </w:r>
          </w:p>
        </w:tc>
      </w:tr>
      <w:tr>
        <w:tc>
          <w:tcPr>
            <w:tcW w:type="dxa" w:w="4968"/>
            <w:vAlign w:val="center"/>
          </w:tcPr>
          <w:p>
            <w:pPr>
              <w:spacing w:after="40"/>
            </w:pPr>
            <w:r/>
            <w:r>
              <w:rPr>
                <w:rFonts w:ascii="Aptos" w:hAnsi="Aptos"/>
                <w:b/>
                <w:sz w:val="16"/>
              </w:rPr>
              <w:t>Integration access is delayed</w:t>
            </w:r>
          </w:p>
        </w:tc>
        <w:tc>
          <w:tcPr>
            <w:tcW w:type="dxa" w:w="4968"/>
            <w:vAlign w:val="center"/>
          </w:tcPr>
          <w:p>
            <w:pPr>
              <w:spacing w:after="40"/>
            </w:pPr>
            <w:r/>
            <w:r>
              <w:rPr>
                <w:rFonts w:ascii="Aptos" w:hAnsi="Aptos"/>
                <w:b w:val="0"/>
                <w:sz w:val="16"/>
              </w:rPr>
              <w:t>Begin with controlled file-based ingestion and add live integrations selectively.</w:t>
            </w:r>
          </w:p>
        </w:tc>
      </w:tr>
      <w:tr>
        <w:tc>
          <w:tcPr>
            <w:tcW w:type="dxa" w:w="4968"/>
            <w:vAlign w:val="center"/>
          </w:tcPr>
          <w:p>
            <w:pPr>
              <w:spacing w:after="40"/>
            </w:pPr>
            <w:r/>
            <w:r>
              <w:rPr>
                <w:rFonts w:ascii="Aptos" w:hAnsi="Aptos"/>
                <w:b/>
                <w:sz w:val="16"/>
              </w:rPr>
              <w:t>Sensitive information is exposed</w:t>
            </w:r>
          </w:p>
        </w:tc>
        <w:tc>
          <w:tcPr>
            <w:tcW w:type="dxa" w:w="4968"/>
            <w:vAlign w:val="center"/>
          </w:tcPr>
          <w:p>
            <w:pPr>
              <w:spacing w:after="40"/>
            </w:pPr>
            <w:r/>
            <w:r>
              <w:rPr>
                <w:rFonts w:ascii="Aptos" w:hAnsi="Aptos"/>
                <w:b w:val="0"/>
                <w:sz w:val="16"/>
              </w:rPr>
              <w:t>Strict access control, encryption, audit records and tested security procedures.</w:t>
            </w:r>
          </w:p>
        </w:tc>
      </w:tr>
      <w:tr>
        <w:tc>
          <w:tcPr>
            <w:tcW w:type="dxa" w:w="4968"/>
            <w:vAlign w:val="center"/>
          </w:tcPr>
          <w:p>
            <w:pPr>
              <w:spacing w:after="40"/>
            </w:pPr>
            <w:r/>
            <w:r>
              <w:rPr>
                <w:rFonts w:ascii="Aptos" w:hAnsi="Aptos"/>
                <w:b/>
                <w:sz w:val="16"/>
              </w:rPr>
              <w:t>Customers do not pay enough to justify implementation</w:t>
            </w:r>
          </w:p>
        </w:tc>
        <w:tc>
          <w:tcPr>
            <w:tcW w:type="dxa" w:w="4968"/>
            <w:vAlign w:val="center"/>
          </w:tcPr>
          <w:p>
            <w:pPr>
              <w:spacing w:after="40"/>
            </w:pPr>
            <w:r/>
            <w:r>
              <w:rPr>
                <w:rFonts w:ascii="Aptos" w:hAnsi="Aptos"/>
                <w:b w:val="0"/>
                <w:sz w:val="16"/>
              </w:rPr>
              <w:t>Validate willingness to pay and delivery cost through a paid pilot.</w:t>
            </w:r>
          </w:p>
        </w:tc>
      </w:tr>
      <w:tr>
        <w:tc>
          <w:tcPr>
            <w:tcW w:type="dxa" w:w="4968"/>
            <w:vAlign w:val="center"/>
          </w:tcPr>
          <w:p>
            <w:pPr>
              <w:spacing w:after="40"/>
            </w:pPr>
            <w:r/>
            <w:r>
              <w:rPr>
                <w:rFonts w:ascii="Aptos" w:hAnsi="Aptos"/>
                <w:b/>
                <w:sz w:val="16"/>
              </w:rPr>
              <w:t>Existing software already solves the problem</w:t>
            </w:r>
          </w:p>
        </w:tc>
        <w:tc>
          <w:tcPr>
            <w:tcW w:type="dxa" w:w="4968"/>
            <w:vAlign w:val="center"/>
          </w:tcPr>
          <w:p>
            <w:pPr>
              <w:spacing w:after="40"/>
            </w:pPr>
            <w:r/>
            <w:r>
              <w:rPr>
                <w:rFonts w:ascii="Aptos" w:hAnsi="Aptos"/>
                <w:b w:val="0"/>
                <w:sz w:val="16"/>
              </w:rPr>
              <w:t>Interview buyers, compare alternatives and focus only on demonstrable unmet needs.</w:t>
            </w:r>
          </w:p>
        </w:tc>
      </w:tr>
    </w:tbl>
    <w:p>
      <w:pPr>
        <w:pStyle w:val="Heading1"/>
      </w:pPr>
      <w:r>
        <w:t>14. Questions for prospective design partners</w:t>
      </w:r>
    </w:p>
    <w:p>
      <w:r>
        <w:t>The concept would benefit from candid feedback from family offices and business groups. The following questions are intended to discover the real problem before committing to a solution.</w:t>
      </w:r>
    </w:p>
    <w:p>
      <w:pPr>
        <w:pStyle w:val="ListNumber"/>
        <w:spacing w:after="60"/>
      </w:pPr>
      <w:r>
        <w:t>How many entities and investments do you oversee, and how are they currently organised?</w:t>
      </w:r>
    </w:p>
    <w:p>
      <w:pPr>
        <w:pStyle w:val="ListNumber"/>
        <w:spacing w:after="60"/>
      </w:pPr>
      <w:r>
        <w:t>Which systems and file formats are used to produce the financial reports?</w:t>
      </w:r>
    </w:p>
    <w:p>
      <w:pPr>
        <w:pStyle w:val="ListNumber"/>
        <w:spacing w:after="60"/>
      </w:pPr>
      <w:r>
        <w:t>How long does the monthly or quarterly consolidation process take?</w:t>
      </w:r>
    </w:p>
    <w:p>
      <w:pPr>
        <w:pStyle w:val="ListNumber"/>
        <w:spacing w:after="60"/>
      </w:pPr>
      <w:r>
        <w:t>Which figures are most difficult to validate or trace back to their source?</w:t>
      </w:r>
    </w:p>
    <w:p>
      <w:pPr>
        <w:pStyle w:val="ListNumber"/>
        <w:spacing w:after="60"/>
      </w:pPr>
      <w:r>
        <w:t>How do you currently reconcile bank balances, accounting records and intercompany movements?</w:t>
      </w:r>
    </w:p>
    <w:p>
      <w:pPr>
        <w:pStyle w:val="ListNumber"/>
        <w:spacing w:after="60"/>
      </w:pPr>
      <w:r>
        <w:t>What information does the principal or board ask for that is difficult to provide quickly?</w:t>
      </w:r>
    </w:p>
    <w:p>
      <w:pPr>
        <w:pStyle w:val="ListNumber"/>
        <w:spacing w:after="60"/>
      </w:pPr>
      <w:r>
        <w:t>Which tools or providers have you tried, and what remains unresolved?</w:t>
      </w:r>
    </w:p>
    <w:p>
      <w:pPr>
        <w:pStyle w:val="ListNumber"/>
        <w:spacing w:after="60"/>
      </w:pPr>
      <w:r>
        <w:t>What would a successful pilot have to demonstrate to justify a purchase?</w:t>
      </w:r>
    </w:p>
    <w:p>
      <w:pPr>
        <w:pStyle w:val="ListNumber"/>
        <w:spacing w:after="60"/>
      </w:pPr>
      <w:r>
        <w:t>Who would own the budget and approve implementation?</w:t>
      </w:r>
    </w:p>
    <w:p>
      <w:pPr>
        <w:pStyle w:val="ListNumber"/>
        <w:spacing w:after="60"/>
      </w:pPr>
      <w:r>
        <w:t>Would you consider participating as a design partner using an agreed, secure and appropriately scoped dataset?</w:t>
      </w:r>
    </w:p>
    <w:p>
      <w:pPr>
        <w:pStyle w:val="Heading1"/>
      </w:pPr>
      <w:r>
        <w:t>15. Proposed next steps</w:t>
      </w:r>
    </w:p>
    <w:p>
      <w:pPr>
        <w:pStyle w:val="ListNumber"/>
        <w:spacing w:after="60"/>
      </w:pPr>
      <w:r>
        <w:t>Identify the original family office and a small number of additional potential design partners.</w:t>
      </w:r>
    </w:p>
    <w:p>
      <w:pPr>
        <w:pStyle w:val="ListNumber"/>
        <w:spacing w:after="60"/>
      </w:pPr>
      <w:r>
        <w:t>Conduct structured discovery interviews and document the current reporting workflow.</w:t>
      </w:r>
    </w:p>
    <w:p>
      <w:pPr>
        <w:pStyle w:val="ListNumber"/>
        <w:spacing w:after="60"/>
      </w:pPr>
      <w:r>
        <w:t>Review anonymised sample reports to assess source formats, data quality and integration needs.</w:t>
      </w:r>
    </w:p>
    <w:p>
      <w:pPr>
        <w:pStyle w:val="ListNumber"/>
        <w:spacing w:after="60"/>
      </w:pPr>
      <w:r>
        <w:t>Compare relevant financial consolidation, wealth reporting and multi-entity accounting alternatives.</w:t>
      </w:r>
    </w:p>
    <w:p>
      <w:pPr>
        <w:pStyle w:val="ListNumber"/>
        <w:spacing w:after="60"/>
      </w:pPr>
      <w:r>
        <w:t>Agree a two-week proof-of-concept scope, security arrangements, baseline measures and success criteria; define the optional implementation pilot separately.</w:t>
      </w:r>
    </w:p>
    <w:p>
      <w:pPr>
        <w:pStyle w:val="ListNumber"/>
        <w:spacing w:after="60"/>
      </w:pPr>
      <w:r>
        <w:t>Build or configure only the minimum capabilities required to test the agreed problem during the proof of concept.</w:t>
      </w:r>
    </w:p>
    <w:p>
      <w:pPr>
        <w:pStyle w:val="ListNumber"/>
        <w:spacing w:after="60"/>
      </w:pPr>
      <w:r>
        <w:t>Use proof-of-concept evidence—and, if undertaken, implementation-pilot results—to decide whether to invest in a repeatable product and which customer segment to prioritise.</w:t>
      </w:r>
    </w:p>
    <w:p>
      <w:pPr>
        <w:pStyle w:val="Heading1"/>
      </w:pPr>
      <w:r>
        <w:t>Closing perspective</w:t>
      </w:r>
    </w:p>
    <w:p>
      <w:r>
        <w:t>The opportunity is to help owners see their entire financial ecosystem more clearly, while enabling finance teams to spend less time assembling information and more time explaining what it means. The product should earn trust through traceability, transparent limitations and disciplined reconciliation—not through the appearance of a sophisticated dashboard.</w:t>
      </w:r>
    </w:p>
    <w:p>
      <w:r>
        <w:t>The concept should now be tested with real prospective users. A successful design-partner pilot would provide the evidence needed to refine the proposition, define the product roadmap and determine whether the opportunity can support a scalable software business.</w:t>
      </w:r>
    </w:p>
    <w:p/>
    <w:p>
      <w:pPr>
        <w:jc w:val="center"/>
      </w:pPr>
      <w:r>
        <w:rPr>
          <w:b/>
          <w:color w:val="A97F2B"/>
          <w:sz w:val="18"/>
        </w:rPr>
        <w:t>WORKING CONCEPT • FOR DISCUSSION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7D"/>
        <w:sz w:val="16"/>
      </w:rPr>
      <w:t>Discussion document • Working concept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A97F2B"/>
        <w:sz w:val="16"/>
      </w:rPr>
      <w:t>CONCEPT NOTE  |  FINANCIAL VISIBILITY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4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73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A97F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27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7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